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3000"/>
        <w:gridCol w:w="3287"/>
      </w:tblGrid>
      <w:tr w:rsidR="00117D20">
        <w:tc>
          <w:tcPr>
            <w:tcW w:w="3518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287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117D20">
        <w:tc>
          <w:tcPr>
            <w:tcW w:w="3518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Губернатора Тюменской области</w:t>
            </w:r>
          </w:p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Директор Департамента социального развития Тюменской области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Директор Департамента информатизации Тюменской области</w:t>
            </w: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Председатель Правления Тюменского регионального отделения ООО «Союз пенсионеров России»</w:t>
            </w: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7D20">
        <w:tc>
          <w:tcPr>
            <w:tcW w:w="3518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________ О.А.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Кузнечевских</w:t>
            </w:r>
            <w:proofErr w:type="spellEnd"/>
          </w:p>
        </w:tc>
        <w:tc>
          <w:tcPr>
            <w:tcW w:w="3000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________ М.В. Рудзевич</w:t>
            </w:r>
          </w:p>
        </w:tc>
        <w:tc>
          <w:tcPr>
            <w:tcW w:w="3287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_______ Н.А.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</w:p>
        </w:tc>
      </w:tr>
      <w:tr w:rsidR="00117D20">
        <w:trPr>
          <w:trHeight w:val="591"/>
        </w:trPr>
        <w:tc>
          <w:tcPr>
            <w:tcW w:w="3518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5A1C1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__________________ 201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5A1C1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______________ 2018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7" w:type="dxa"/>
            <w:shd w:val="clear" w:color="auto" w:fill="FFFFFF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117D20" w:rsidRDefault="00117D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17D20" w:rsidRDefault="005A1C1B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_______________ 2018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</w:p>
    <w:p w:rsidR="00117D20" w:rsidRDefault="005A1C1B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порядке проведения Шестого областного чемпионата</w:t>
      </w: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 компьютерной грамотности среди людей старшего поколения</w:t>
      </w: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г. Тюмень</w:t>
      </w:r>
    </w:p>
    <w:p w:rsidR="00117D20" w:rsidRDefault="005A1C1B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2018 год</w:t>
      </w:r>
    </w:p>
    <w:p w:rsidR="00117D20" w:rsidRDefault="005A1C1B">
      <w:pPr>
        <w:pStyle w:val="Standard"/>
        <w:pageBreakBefore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1.1. Настоящее Положение об областном чемпионате по компьютерной грамотности среди людей старшего поколения (далее – Чемпионат) определяет цели, задачи и порядок проведения Чемпионата.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1.2. Чемпионат проводится Департаментом социального развития Тюменской области, Департаментом информатизации Тюменской области, Тюменским региональным отделением ООО «Союз пенсионеров России» по Тюменской области.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1.3. К соревнованиям в Чемпионате допускаются граждане, достигшие пенсионного возраста (женщины старше 55 лет и мужчины старше 60 лет), имеющие навыки работы на компьютерной технике.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1.4. Цель Чемпионата – увеличение числа людей пожилого возраста, использующих в повседневной жизни компьютерные технологии для успешной социальной адаптации в информационной среде, расширения общения, получения государственных и муниципальных услуг через информационно-телекоммуникационную сеть «Интернет» (далее – Интернет).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1.5. Основные задачи Чемпионата: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формирование позитивного общественного мнения в отношении компьютерной грамотности населения старшего возраста;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популяризация среди пенсионеров курсов обучения компьютерной грамотности;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обеспечение доступности товаров и услуг, а также возможности общения посредством компьютерных технологий и сети Интернет.</w:t>
      </w:r>
    </w:p>
    <w:p w:rsidR="00117D20" w:rsidRDefault="00117D20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 Организация проведения Чемпионата</w:t>
      </w: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2.1.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Департамент социального развития Тюменской области осуществляет следующие функции: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организация трансфера участников из муниципальных образований Тюменской области, кроме г. Тюмени, для участия в финале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формирование призового фонда Чемпионата, привлечение спонсоров мероприятия;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обеспечение присутствия медицинских работников на месте и во время проведения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информирование населения о проведении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подготовка итогового отчета о проведении Чемпионата для его публикации в СМИ;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выполнение иных функций, связанных с проведением Чемпионата.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2.2. Департамент информатизации Тюменской области осуществляет следующие функции: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информирование населения о проведении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информационное сопровождение Чемпионата, работа со СМИ;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определение места проведения финала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организационно-техническое обеспечение проведения Чемпионата, в том числе обеспечение наличия необходимого оборудования для проведения финала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>- подготовка итогового отчета о проведении Чемпионата для его публикации в СМИ;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ab/>
        <w:t>- обработка анкет, результатов теста и творческого задания, представленных участниками Чемпионата на первом этапе Чемпионата;</w:t>
      </w:r>
    </w:p>
    <w:p w:rsidR="00117D20" w:rsidRDefault="005A1C1B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 xml:space="preserve">- размещение на </w:t>
      </w:r>
      <w:hyperlink r:id="rId7" w:history="1">
        <w:r>
          <w:rPr>
            <w:rStyle w:val="Internetlink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выполнение иных функций, связанных с проведением Чемпионата.</w:t>
      </w:r>
    </w:p>
    <w:p w:rsidR="00117D20" w:rsidRDefault="005A1C1B">
      <w:pPr>
        <w:pStyle w:val="Standard"/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2.3. 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Тюменское региональное отделение ООО «Союз пенсионеров России» по Тюменской области:</w:t>
      </w:r>
    </w:p>
    <w:p w:rsidR="00117D20" w:rsidRDefault="005A1C1B">
      <w:pPr>
        <w:pStyle w:val="Standard"/>
        <w:spacing w:after="0" w:line="240" w:lineRule="auto"/>
        <w:ind w:firstLine="68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информирование населения о проведении Чемпионата;</w:t>
      </w:r>
    </w:p>
    <w:p w:rsidR="00117D20" w:rsidRDefault="005A1C1B">
      <w:pPr>
        <w:pStyle w:val="Standard"/>
        <w:spacing w:after="0" w:line="240" w:lineRule="auto"/>
        <w:ind w:firstLine="68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- выполнение иных функций, связанных с проведением Чемпионата.</w:t>
      </w:r>
    </w:p>
    <w:p w:rsidR="00117D20" w:rsidRDefault="005A1C1B">
      <w:pPr>
        <w:pStyle w:val="Standard"/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2.4. Итоги Чемпионата подводятся и утверждаются Конкурсной комиссией. Конкурсная комиссия формируется из представителей органов государственной власти, государственных учреждений Тюменской области, а также представителей Тюменского регионального отделения ООО «Союз пенсионеров России» по Тюменской области и победителей Чемпионатов прошлых лет в следующем соотношении: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Департамент информатизации Тюменской области – 1 чел.;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Департамент социального развития Тюменской области – 1 чел.;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ГАУ ДО ТО «РИО-Центр» - 1 чел.;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ООО «Союз пенсионеров России» по Тюменской области – 1 чел.;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победитель Чемпионата (2015-2017 гг.) - 1 чел.;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Персональный состав Конкурсной комиссии утвержден согласно Приложению.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2.5. Конкурсная комиссия осуществляет следующие функции: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проводит инструктаж участников второго этапа Чемпионата, объясняет критерии оценки и, убедившись в готовности участников, дает сигнал для начала выполнения заданий;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проводит обсуждение, оценивает и определяет результаты работ участников Чемпионата;</w:t>
      </w:r>
    </w:p>
    <w:p w:rsidR="00117D20" w:rsidRDefault="005A1C1B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определяет победителей и призеров Чемпионата;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- организует и контролирует ход соревнований, принимает оперативные решения по регламенту, устранению сбоев техники, программного обеспечения и др.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2.6. Во время проведения Чемпионата в зоне соревнований не допускается присутствие посторонних лиц, кроме членов Конкурсной комиссии, групп технической и программной поддержки.</w:t>
      </w:r>
    </w:p>
    <w:p w:rsidR="00117D20" w:rsidRDefault="005A1C1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2.7. Каждому участнику Чемпионата предоставляется отдельное рабочее место.</w:t>
      </w:r>
    </w:p>
    <w:p w:rsidR="00117D20" w:rsidRDefault="00117D20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Порядок проведения чемпионата</w:t>
      </w: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Чемпионат проводится в двух номинациях, учитывающих уровень владения информационными технологиями:</w:t>
      </w:r>
    </w:p>
    <w:p w:rsidR="00117D20" w:rsidRDefault="005A1C1B">
      <w:pPr>
        <w:pStyle w:val="Standard"/>
        <w:spacing w:after="0" w:line="240" w:lineRule="auto"/>
        <w:ind w:left="73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«Уверенный пользователь»;</w:t>
      </w:r>
    </w:p>
    <w:p w:rsidR="00117D20" w:rsidRDefault="005A1C1B">
      <w:pPr>
        <w:pStyle w:val="Standard"/>
        <w:spacing w:after="0" w:line="240" w:lineRule="auto"/>
        <w:ind w:left="73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«Начинающий пользователь» (среди выпускников курсов программы повышения компьютерной грамотности «Расширяя горизонты» за 2017-2018 гг.).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Чемпионат проводится в два тура: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первый (отборочный) тур;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второй (финальный) тур.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3.3. Порядок проведения первого (отборочного) тура: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3.3.1. Первый (отборочный) тур проводится дистанционно и заключается в заполнении анкеты, выполнении теста, а также творческого задания.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3.3.2. Тест отборочного тура определяет степень компьютерной грамотности, навыки получения государственных услуг в электронном виде, навыки использования электронных сервисов Интернета. Для каждой номинации определены темы творческого задания.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3.3.3. Задания первого (отборочного) тура Чемпионата размещены в системе электронного обучения </w:t>
      </w:r>
      <w:hyperlink r:id="rId8" w:history="1">
        <w:r>
          <w:rPr>
            <w:rStyle w:val="Internetlink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3.3.4. Получить доступ к заданиям первого (отборочного) тура можно после прохождения регистрации.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3.3.5. Каждый участник первого (отборочного) тура может выполнить задания только один раз. При повторном прохождении первого (отборочного) тура будет учитываться первый результат.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3.3.6. Тест и творческое задание могут быть выполнены последовательно только после заполнения анкеты.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3.3.7. Максимально возможное количество баллов при выполнении тестового задания в зависимости от правильности ответов – 80 баллов.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3.3.8. Максимально возможное количество баллов при выполнении творческого задания – 20 баллов.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3.3.9. Отбор победителей проводится на основании формальных признаков (возраст участников, факт обучения на курсах программы «Расширяя горизонты» - для номинации «Начинающий пользователь»), количества набранных баллов за выполнение заданий теста, а также оценки творческих работ.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 Порядок проведения второго (финального) тура чемпионата.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3.4.1.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Второй (финальный) тур проводится очно в учебном классе, оборудованном компьютерной техникой, по адресу: г. Тюмень,                            ул. Республики, 142.</w:t>
      </w:r>
      <w:proofErr w:type="gramEnd"/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3.4.2. Во втором (финальном) туре Конкурсная комиссия присутствует при выполнении всех заданий, оценивает выполнение каждого задания.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3.4.3. К участию во втором (финальном) туре Чемпионата допускаются участники с 8 лучшими результатами в каждой номинации по итогам первого (отборочного) тура. Список участников, прошедших во второй (финальный) тур, размещается на сайте </w:t>
      </w:r>
      <w:hyperlink r:id="rId9" w:history="1">
        <w:r>
          <w:rPr>
            <w:rStyle w:val="Internetlink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3.4.4. В финале каждый участник выполняет три конкурсных задания, каждое из которых оценивается в баллах от 1 до 10. Максимальное количество баллов, которое может набрать финалист, - 30.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3.4.5. По окончании второго (финального) тура Конкурсная комиссия подводит итоги и определяет победителей Чемпионата по двум номинациям: «Уверенный пользователь», «Начинающий пользователь». Победителями Чемпионата в каждой номинации становятся три участника, набравших во втором (финальном) туре максимальное количество баллов.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>3.4.6. Все участники второго (финального) тура Чемпионата награждаются дипломами участника и памятными призами. Победители, занявшие призовые места, награждаются дипломами и призами.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3.4.7. Конкурсная комиссия вправе устанавливать дополнительные номинации.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3.5. Сроки проведения Чемпионата: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3.5.1. Первый (отборочный) тур: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с 12 февраля 2018 года по 12 марта 2018 года – выполнение заданий в системе электронного обучения - </w:t>
      </w:r>
      <w:hyperlink r:id="rId10" w:history="1">
        <w:r>
          <w:rPr>
            <w:rStyle w:val="Internetlink"/>
            <w:rFonts w:ascii="Arial" w:eastAsia="Times New Roman" w:hAnsi="Arial" w:cs="Arial"/>
            <w:color w:val="00000A"/>
            <w:sz w:val="26"/>
            <w:szCs w:val="26"/>
            <w:lang w:eastAsia="ru-RU"/>
          </w:rPr>
          <w:t>http://edu.admtyumen.ru/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- 16 марта 2018 года – подведение итогов первого (отборочного) тура.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3.5.2. Второй (финальный) тур: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апреля 2018 года: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проведение второго (финального) тура;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подведение итогов, определение победителей;</w:t>
      </w:r>
    </w:p>
    <w:p w:rsidR="00117D20" w:rsidRDefault="005A1C1B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награждение победителей Чемпионата.</w:t>
      </w:r>
    </w:p>
    <w:p w:rsidR="00117D20" w:rsidRDefault="005A1C1B">
      <w:pPr>
        <w:pStyle w:val="Standard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3.6. Из числа победителей Чемпионата формируется команда Тюменской области для участия в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VIII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Всероссийском чемпионате по компьютерному многоборью среди пенсионеров.</w:t>
      </w:r>
    </w:p>
    <w:p w:rsidR="00117D20" w:rsidRDefault="00117D20">
      <w:pPr>
        <w:pStyle w:val="Standard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pageBreakBefore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Приложение к Положению о порядке</w:t>
      </w:r>
    </w:p>
    <w:p w:rsidR="00117D20" w:rsidRDefault="005A1C1B">
      <w:pPr>
        <w:pStyle w:val="Standard"/>
        <w:spacing w:after="0" w:line="240" w:lineRule="auto"/>
        <w:jc w:val="right"/>
      </w:pPr>
      <w:r>
        <w:rPr>
          <w:rFonts w:ascii="Arial" w:eastAsia="Times New Roman" w:hAnsi="Arial" w:cs="Arial"/>
          <w:color w:val="000000"/>
          <w:lang w:eastAsia="ru-RU"/>
        </w:rPr>
        <w:t>проведения Шестого областного чемпионата</w:t>
      </w:r>
    </w:p>
    <w:p w:rsidR="00117D20" w:rsidRDefault="005A1C1B">
      <w:pPr>
        <w:pStyle w:val="Standard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компьютерной грамотности</w:t>
      </w:r>
    </w:p>
    <w:p w:rsidR="00117D20" w:rsidRDefault="005A1C1B">
      <w:pPr>
        <w:pStyle w:val="Standard"/>
        <w:spacing w:after="0" w:line="240" w:lineRule="auto"/>
        <w:jc w:val="right"/>
      </w:pPr>
      <w:r>
        <w:rPr>
          <w:rFonts w:ascii="Arial" w:eastAsia="Times New Roman" w:hAnsi="Arial" w:cs="Arial"/>
          <w:color w:val="000000"/>
          <w:lang w:eastAsia="ru-RU"/>
        </w:rPr>
        <w:t>среди людей старшего поколения</w:t>
      </w:r>
    </w:p>
    <w:p w:rsidR="00117D20" w:rsidRDefault="00117D2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17D20" w:rsidRDefault="005A1C1B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Состав конкурсной комиссии</w:t>
      </w:r>
    </w:p>
    <w:p w:rsidR="00117D20" w:rsidRDefault="005A1C1B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Шестого областного чемпионата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 компьютерной грамотности</w:t>
      </w:r>
    </w:p>
    <w:p w:rsidR="00117D20" w:rsidRDefault="005A1C1B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среди людей старшего поколения</w:t>
      </w:r>
    </w:p>
    <w:p w:rsidR="00117D20" w:rsidRDefault="00117D20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7D20" w:rsidRDefault="00117D20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81" w:type="dxa"/>
        <w:tblInd w:w="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6383"/>
      </w:tblGrid>
      <w:tr w:rsidR="00117D20">
        <w:tc>
          <w:tcPr>
            <w:tcW w:w="3398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Рудзевич Мария</w:t>
            </w:r>
          </w:p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Департамента информатизации Тюменской области, председатель комиссии</w:t>
            </w:r>
          </w:p>
          <w:p w:rsidR="00117D20" w:rsidRDefault="00117D20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7D20">
        <w:tc>
          <w:tcPr>
            <w:tcW w:w="3398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Бородина Татьяна Сергеевна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отдела социального обслуживания Департамента социального развития Тюменской области</w:t>
            </w:r>
            <w:proofErr w:type="gramEnd"/>
          </w:p>
          <w:p w:rsidR="00117D20" w:rsidRDefault="00117D20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117D20">
        <w:tc>
          <w:tcPr>
            <w:tcW w:w="3398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Половникова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Нина Александровна</w:t>
            </w:r>
          </w:p>
          <w:p w:rsidR="00117D20" w:rsidRDefault="00117D2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3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правления Тюменского регионального отделения ООО «Союз пенсионеров России» по Тюменской области</w:t>
            </w:r>
          </w:p>
          <w:p w:rsidR="00117D20" w:rsidRDefault="00117D20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17D20">
        <w:tc>
          <w:tcPr>
            <w:tcW w:w="3398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Беляева Татьяна Александровна</w:t>
            </w:r>
          </w:p>
          <w:p w:rsidR="00117D20" w:rsidRDefault="00117D2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3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 ГАУ ДО ТО «РИО-Центр»</w:t>
            </w:r>
          </w:p>
        </w:tc>
      </w:tr>
      <w:tr w:rsidR="00117D20">
        <w:tc>
          <w:tcPr>
            <w:tcW w:w="3398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Толстов Владимир Алексеевич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23" w:type="dxa"/>
              <w:bottom w:w="0" w:type="dxa"/>
              <w:right w:w="108" w:type="dxa"/>
            </w:tcMar>
          </w:tcPr>
          <w:p w:rsidR="00117D20" w:rsidRDefault="005A1C1B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Победитель Четвертого областного чемпионата по компьютерной грамотности среди людей старшего поколения (2015 г.)</w:t>
            </w:r>
          </w:p>
          <w:p w:rsidR="00117D20" w:rsidRDefault="00117D20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7D20" w:rsidRDefault="00117D20">
      <w:pPr>
        <w:pStyle w:val="Standard"/>
        <w:spacing w:after="0" w:line="240" w:lineRule="auto"/>
        <w:jc w:val="both"/>
      </w:pPr>
    </w:p>
    <w:p w:rsidR="00117D20" w:rsidRDefault="00117D20">
      <w:pPr>
        <w:pStyle w:val="Standard"/>
        <w:spacing w:after="0" w:line="240" w:lineRule="auto"/>
        <w:ind w:firstLine="709"/>
        <w:jc w:val="both"/>
      </w:pPr>
    </w:p>
    <w:sectPr w:rsidR="00117D20" w:rsidSect="00A94993">
      <w:footerReference w:type="defaul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6B" w:rsidRDefault="00F7396B">
      <w:pPr>
        <w:spacing w:line="240" w:lineRule="auto"/>
      </w:pPr>
      <w:r>
        <w:separator/>
      </w:r>
    </w:p>
  </w:endnote>
  <w:endnote w:type="continuationSeparator" w:id="0">
    <w:p w:rsidR="00F7396B" w:rsidRDefault="00F7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3F" w:rsidRDefault="00A94993">
    <w:pPr>
      <w:pStyle w:val="aa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5A1C1B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3138F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6B" w:rsidRDefault="00F7396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7396B" w:rsidRDefault="00F73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574A"/>
    <w:multiLevelType w:val="multilevel"/>
    <w:tmpl w:val="1280405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20"/>
    <w:rsid w:val="00117D20"/>
    <w:rsid w:val="001E7057"/>
    <w:rsid w:val="0033138F"/>
    <w:rsid w:val="005A1C1B"/>
    <w:rsid w:val="00A94993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99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993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A949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94993"/>
    <w:pPr>
      <w:spacing w:after="140" w:line="288" w:lineRule="auto"/>
    </w:pPr>
  </w:style>
  <w:style w:type="paragraph" w:styleId="a3">
    <w:name w:val="List"/>
    <w:basedOn w:val="Textbody"/>
    <w:rsid w:val="00A94993"/>
    <w:rPr>
      <w:rFonts w:cs="Mangal"/>
    </w:rPr>
  </w:style>
  <w:style w:type="paragraph" w:styleId="a4">
    <w:name w:val="caption"/>
    <w:basedOn w:val="Standard"/>
    <w:rsid w:val="00A949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4993"/>
    <w:pPr>
      <w:suppressLineNumbers/>
    </w:pPr>
    <w:rPr>
      <w:rFonts w:cs="Mangal"/>
    </w:rPr>
  </w:style>
  <w:style w:type="paragraph" w:styleId="a5">
    <w:name w:val="Normal (Web)"/>
    <w:basedOn w:val="Standard"/>
    <w:rsid w:val="00A949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rsid w:val="00A94993"/>
    <w:pPr>
      <w:ind w:left="720"/>
    </w:pPr>
  </w:style>
  <w:style w:type="paragraph" w:styleId="a7">
    <w:name w:val="Balloon Text"/>
    <w:basedOn w:val="Standard"/>
    <w:rsid w:val="00A94993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8">
    <w:name w:val="annotation text"/>
    <w:basedOn w:val="Standard"/>
    <w:rsid w:val="00A94993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sid w:val="00A94993"/>
    <w:rPr>
      <w:b/>
      <w:bCs/>
    </w:rPr>
  </w:style>
  <w:style w:type="paragraph" w:customStyle="1" w:styleId="TableContents">
    <w:name w:val="Table Contents"/>
    <w:basedOn w:val="Standard"/>
    <w:rsid w:val="00A94993"/>
  </w:style>
  <w:style w:type="paragraph" w:customStyle="1" w:styleId="TableHeading">
    <w:name w:val="Table Heading"/>
    <w:basedOn w:val="TableContents"/>
    <w:rsid w:val="00A94993"/>
  </w:style>
  <w:style w:type="paragraph" w:styleId="aa">
    <w:name w:val="footer"/>
    <w:basedOn w:val="Standard"/>
    <w:rsid w:val="00A94993"/>
  </w:style>
  <w:style w:type="character" w:styleId="ab">
    <w:name w:val="Strong"/>
    <w:basedOn w:val="a0"/>
    <w:rsid w:val="00A94993"/>
    <w:rPr>
      <w:b/>
      <w:bCs/>
    </w:rPr>
  </w:style>
  <w:style w:type="character" w:customStyle="1" w:styleId="apple-converted-space">
    <w:name w:val="apple-converted-space"/>
    <w:basedOn w:val="a0"/>
    <w:rsid w:val="00A94993"/>
  </w:style>
  <w:style w:type="character" w:customStyle="1" w:styleId="Internetlink">
    <w:name w:val="Internet link"/>
    <w:basedOn w:val="a0"/>
    <w:rsid w:val="00A94993"/>
    <w:rPr>
      <w:color w:val="0000FF"/>
      <w:u w:val="single"/>
    </w:rPr>
  </w:style>
  <w:style w:type="character" w:styleId="ac">
    <w:name w:val="FollowedHyperlink"/>
    <w:basedOn w:val="a0"/>
    <w:rsid w:val="00A94993"/>
    <w:rPr>
      <w:color w:val="800080"/>
      <w:u w:val="single"/>
    </w:rPr>
  </w:style>
  <w:style w:type="character" w:customStyle="1" w:styleId="ad">
    <w:name w:val="Текст выноски Знак"/>
    <w:basedOn w:val="a0"/>
    <w:rsid w:val="00A94993"/>
    <w:rPr>
      <w:rFonts w:ascii="Tahoma" w:eastAsia="Tahoma" w:hAnsi="Tahoma" w:cs="Tahoma"/>
      <w:sz w:val="16"/>
      <w:szCs w:val="16"/>
    </w:rPr>
  </w:style>
  <w:style w:type="character" w:styleId="ae">
    <w:name w:val="annotation reference"/>
    <w:basedOn w:val="a0"/>
    <w:rsid w:val="00A94993"/>
    <w:rPr>
      <w:sz w:val="16"/>
      <w:szCs w:val="16"/>
    </w:rPr>
  </w:style>
  <w:style w:type="character" w:customStyle="1" w:styleId="af">
    <w:name w:val="Текст примечания Знак"/>
    <w:basedOn w:val="a0"/>
    <w:rsid w:val="00A94993"/>
    <w:rPr>
      <w:sz w:val="20"/>
      <w:szCs w:val="20"/>
    </w:rPr>
  </w:style>
  <w:style w:type="character" w:customStyle="1" w:styleId="af0">
    <w:name w:val="Тема примечания Знак"/>
    <w:basedOn w:val="af"/>
    <w:rsid w:val="00A94993"/>
    <w:rPr>
      <w:b/>
      <w:bCs/>
      <w:sz w:val="20"/>
      <w:szCs w:val="20"/>
    </w:rPr>
  </w:style>
  <w:style w:type="character" w:customStyle="1" w:styleId="NumberingSymbols">
    <w:name w:val="Numbering Symbols"/>
    <w:rsid w:val="00A94993"/>
  </w:style>
  <w:style w:type="character" w:customStyle="1" w:styleId="BulletSymbols">
    <w:name w:val="Bullet Symbols"/>
    <w:rsid w:val="00A94993"/>
    <w:rPr>
      <w:rFonts w:ascii="OpenSymbol" w:eastAsia="OpenSymbol" w:hAnsi="OpenSymbol" w:cs="OpenSymbol"/>
    </w:rPr>
  </w:style>
  <w:style w:type="numbering" w:customStyle="1" w:styleId="1">
    <w:name w:val="Нет списка1"/>
    <w:basedOn w:val="a2"/>
    <w:rsid w:val="00A9499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a">
    <w:name w:val="footer"/>
    <w:basedOn w:val="Standard"/>
  </w:style>
  <w:style w:type="character" w:styleId="ab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ad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e">
    <w:name w:val="annotation reference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customStyle="1" w:styleId="af0">
    <w:name w:val="Тема примечания Знак"/>
    <w:basedOn w:val="af"/>
    <w:rPr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dmtyume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admtyume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.admtyum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admtyume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Евгения Игоревна</dc:creator>
  <cp:lastModifiedBy>tgmc-122</cp:lastModifiedBy>
  <cp:revision>2</cp:revision>
  <cp:lastPrinted>2016-04-15T07:27:00Z</cp:lastPrinted>
  <dcterms:created xsi:type="dcterms:W3CDTF">2015-06-18T13:38:00Z</dcterms:created>
  <dcterms:modified xsi:type="dcterms:W3CDTF">2018-02-19T06:09:00Z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информатизации Тюменской области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