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5"/>
        <w:gridCol w:w="4575"/>
      </w:tblGrid>
      <w:tr w:rsidR="00860BA1" w:rsidRPr="00D808FC" w:rsidTr="000C42E4">
        <w:trPr>
          <w:trHeight w:val="261"/>
        </w:trPr>
        <w:tc>
          <w:tcPr>
            <w:tcW w:w="4575" w:type="dxa"/>
          </w:tcPr>
          <w:p w:rsidR="00860BA1" w:rsidRPr="00D808FC" w:rsidRDefault="00860BA1" w:rsidP="00D808FC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5" w:type="dxa"/>
          </w:tcPr>
          <w:p w:rsidR="00860BA1" w:rsidRPr="00D808FC" w:rsidRDefault="00860BA1" w:rsidP="00D808FC">
            <w:pPr>
              <w:jc w:val="both"/>
              <w:rPr>
                <w:sz w:val="24"/>
                <w:szCs w:val="24"/>
              </w:rPr>
            </w:pPr>
            <w:r w:rsidRPr="00D808FC">
              <w:rPr>
                <w:sz w:val="24"/>
                <w:szCs w:val="24"/>
              </w:rPr>
              <w:t xml:space="preserve">Утверждено приказом </w:t>
            </w:r>
          </w:p>
          <w:p w:rsidR="00860BA1" w:rsidRPr="00D808FC" w:rsidRDefault="00406A31" w:rsidP="00D80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</w:t>
            </w:r>
            <w:r w:rsidR="000C42E4" w:rsidRPr="00D808FC">
              <w:rPr>
                <w:sz w:val="24"/>
                <w:szCs w:val="24"/>
              </w:rPr>
              <w:t xml:space="preserve"> </w:t>
            </w:r>
            <w:r w:rsidR="00860BA1" w:rsidRPr="00D808FC">
              <w:rPr>
                <w:sz w:val="24"/>
                <w:szCs w:val="24"/>
              </w:rPr>
              <w:t xml:space="preserve"> СДЮСШОР № 4</w:t>
            </w:r>
            <w:r>
              <w:rPr>
                <w:sz w:val="24"/>
                <w:szCs w:val="24"/>
              </w:rPr>
              <w:t xml:space="preserve"> города Тюмени</w:t>
            </w:r>
          </w:p>
          <w:p w:rsidR="00860BA1" w:rsidRPr="00D808FC" w:rsidRDefault="000C42E4" w:rsidP="00D808FC">
            <w:pPr>
              <w:jc w:val="both"/>
              <w:rPr>
                <w:sz w:val="24"/>
                <w:szCs w:val="24"/>
              </w:rPr>
            </w:pPr>
            <w:r w:rsidRPr="00D808FC">
              <w:rPr>
                <w:sz w:val="24"/>
                <w:szCs w:val="24"/>
              </w:rPr>
              <w:t xml:space="preserve">№ </w:t>
            </w:r>
            <w:r w:rsidR="005B3719" w:rsidRPr="00D808FC">
              <w:rPr>
                <w:sz w:val="24"/>
                <w:szCs w:val="24"/>
                <w:u w:val="single"/>
              </w:rPr>
              <w:t>301</w:t>
            </w:r>
            <w:r w:rsidRPr="00D808FC">
              <w:rPr>
                <w:sz w:val="24"/>
                <w:szCs w:val="24"/>
                <w:u w:val="single"/>
              </w:rPr>
              <w:t xml:space="preserve">  </w:t>
            </w:r>
            <w:r w:rsidRPr="00D808FC">
              <w:rPr>
                <w:sz w:val="24"/>
                <w:szCs w:val="24"/>
              </w:rPr>
              <w:t>от «</w:t>
            </w:r>
            <w:r w:rsidR="005B3719" w:rsidRPr="00D808FC">
              <w:rPr>
                <w:sz w:val="24"/>
                <w:szCs w:val="24"/>
                <w:u w:val="single"/>
              </w:rPr>
              <w:t>31</w:t>
            </w:r>
            <w:r w:rsidRPr="00D808FC">
              <w:rPr>
                <w:sz w:val="24"/>
                <w:szCs w:val="24"/>
              </w:rPr>
              <w:t>»</w:t>
            </w:r>
            <w:r w:rsidR="005B3719" w:rsidRPr="00D808FC">
              <w:rPr>
                <w:sz w:val="24"/>
                <w:szCs w:val="24"/>
                <w:u w:val="single"/>
              </w:rPr>
              <w:t>декабря</w:t>
            </w:r>
            <w:r w:rsidRPr="00D808FC">
              <w:rPr>
                <w:sz w:val="24"/>
                <w:szCs w:val="24"/>
              </w:rPr>
              <w:t xml:space="preserve"> </w:t>
            </w:r>
            <w:r w:rsidRPr="00D808FC">
              <w:rPr>
                <w:sz w:val="24"/>
                <w:szCs w:val="24"/>
                <w:u w:val="single"/>
              </w:rPr>
              <w:t>2015</w:t>
            </w:r>
            <w:r w:rsidRPr="00D808FC">
              <w:rPr>
                <w:sz w:val="24"/>
                <w:szCs w:val="24"/>
              </w:rPr>
              <w:t xml:space="preserve"> г.</w:t>
            </w:r>
            <w:r w:rsidR="00860BA1" w:rsidRPr="00D808FC">
              <w:rPr>
                <w:sz w:val="24"/>
                <w:szCs w:val="24"/>
              </w:rPr>
              <w:t xml:space="preserve"> :</w:t>
            </w:r>
          </w:p>
          <w:p w:rsidR="00860BA1" w:rsidRPr="00D808FC" w:rsidRDefault="000C42E4" w:rsidP="00860BA1">
            <w:pPr>
              <w:jc w:val="both"/>
              <w:rPr>
                <w:sz w:val="24"/>
                <w:szCs w:val="24"/>
              </w:rPr>
            </w:pPr>
            <w:r w:rsidRPr="00D808FC">
              <w:rPr>
                <w:sz w:val="24"/>
                <w:szCs w:val="24"/>
              </w:rPr>
              <w:t xml:space="preserve"> </w:t>
            </w:r>
          </w:p>
          <w:p w:rsidR="00860BA1" w:rsidRPr="00D808FC" w:rsidRDefault="00860BA1" w:rsidP="00D808FC">
            <w:pPr>
              <w:jc w:val="both"/>
              <w:rPr>
                <w:sz w:val="24"/>
                <w:szCs w:val="24"/>
              </w:rPr>
            </w:pPr>
          </w:p>
          <w:p w:rsidR="00860BA1" w:rsidRPr="00D808FC" w:rsidRDefault="00860BA1" w:rsidP="000C42E4">
            <w:pPr>
              <w:jc w:val="both"/>
              <w:rPr>
                <w:sz w:val="24"/>
                <w:szCs w:val="24"/>
              </w:rPr>
            </w:pPr>
          </w:p>
        </w:tc>
      </w:tr>
    </w:tbl>
    <w:p w:rsidR="005B3719" w:rsidRPr="00D808FC" w:rsidRDefault="000C42E4" w:rsidP="000C42E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FC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5B3719" w:rsidRPr="00D808FC">
        <w:rPr>
          <w:rFonts w:ascii="Times New Roman" w:hAnsi="Times New Roman" w:cs="Times New Roman"/>
          <w:b/>
          <w:sz w:val="24"/>
          <w:szCs w:val="24"/>
        </w:rPr>
        <w:t xml:space="preserve">е об оплате труда работников </w:t>
      </w:r>
    </w:p>
    <w:p w:rsidR="00860BA1" w:rsidRPr="00D808FC" w:rsidRDefault="005B3719" w:rsidP="000C42E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FC">
        <w:rPr>
          <w:rFonts w:ascii="Times New Roman" w:hAnsi="Times New Roman" w:cs="Times New Roman"/>
          <w:b/>
          <w:sz w:val="24"/>
          <w:szCs w:val="24"/>
        </w:rPr>
        <w:t>МАУ ДО</w:t>
      </w:r>
      <w:r w:rsidR="000C42E4" w:rsidRPr="00D808FC">
        <w:rPr>
          <w:rFonts w:ascii="Times New Roman" w:hAnsi="Times New Roman" w:cs="Times New Roman"/>
          <w:b/>
          <w:sz w:val="24"/>
          <w:szCs w:val="24"/>
        </w:rPr>
        <w:t xml:space="preserve"> СДЮСШОР №4</w:t>
      </w:r>
      <w:r w:rsidRPr="00D808FC">
        <w:rPr>
          <w:rFonts w:ascii="Times New Roman" w:hAnsi="Times New Roman" w:cs="Times New Roman"/>
          <w:b/>
          <w:sz w:val="24"/>
          <w:szCs w:val="24"/>
        </w:rPr>
        <w:t xml:space="preserve"> города Тюмени</w:t>
      </w:r>
    </w:p>
    <w:p w:rsidR="000C42E4" w:rsidRPr="00D808FC" w:rsidRDefault="000C42E4" w:rsidP="000C42E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0A" w:rsidRPr="00D808FC" w:rsidRDefault="00F80BCB" w:rsidP="004A501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2490B" w:rsidRPr="00D808FC" w:rsidRDefault="0062490B" w:rsidP="004A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F80BCB" w:rsidP="004A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1</w:t>
      </w:r>
      <w:r w:rsidR="008D3F0A" w:rsidRPr="00D808FC">
        <w:rPr>
          <w:rFonts w:ascii="Times New Roman" w:hAnsi="Times New Roman" w:cs="Times New Roman"/>
          <w:sz w:val="24"/>
          <w:szCs w:val="24"/>
        </w:rPr>
        <w:t>.</w:t>
      </w:r>
      <w:r w:rsidRPr="00D808FC">
        <w:rPr>
          <w:rFonts w:ascii="Times New Roman" w:hAnsi="Times New Roman" w:cs="Times New Roman"/>
          <w:sz w:val="24"/>
          <w:szCs w:val="24"/>
        </w:rPr>
        <w:t>1.</w:t>
      </w:r>
      <w:r w:rsidR="0062490B" w:rsidRPr="00D808FC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с</w:t>
      </w:r>
      <w:r w:rsidR="008D3F0A" w:rsidRPr="00D808FC">
        <w:rPr>
          <w:rFonts w:ascii="Times New Roman" w:hAnsi="Times New Roman" w:cs="Times New Roman"/>
          <w:sz w:val="24"/>
          <w:szCs w:val="24"/>
        </w:rPr>
        <w:t>истем</w:t>
      </w:r>
      <w:r w:rsidR="0062490B" w:rsidRPr="00D808FC">
        <w:rPr>
          <w:rFonts w:ascii="Times New Roman" w:hAnsi="Times New Roman" w:cs="Times New Roman"/>
          <w:sz w:val="24"/>
          <w:szCs w:val="24"/>
        </w:rPr>
        <w:t>у</w:t>
      </w:r>
      <w:r w:rsidR="008D3F0A" w:rsidRPr="00D808FC">
        <w:rPr>
          <w:rFonts w:ascii="Times New Roman" w:hAnsi="Times New Roman" w:cs="Times New Roman"/>
          <w:sz w:val="24"/>
          <w:szCs w:val="24"/>
        </w:rPr>
        <w:t xml:space="preserve"> оплаты и стимулирования труда работников </w:t>
      </w:r>
      <w:r w:rsidR="0094108F" w:rsidRPr="00D808FC">
        <w:rPr>
          <w:rFonts w:ascii="Times New Roman" w:hAnsi="Times New Roman" w:cs="Times New Roman"/>
          <w:sz w:val="24"/>
          <w:szCs w:val="24"/>
        </w:rPr>
        <w:t xml:space="preserve">МАОУ ДОД СДЮСШОР № 4, далее Учреждение, </w:t>
      </w:r>
      <w:r w:rsidR="008D3F0A" w:rsidRPr="00D808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Тюменской области, муниципальными нормативными правовыми актами города Тюмени, </w:t>
      </w:r>
      <w:r w:rsidR="0062490B" w:rsidRPr="00D808FC">
        <w:rPr>
          <w:rFonts w:ascii="Times New Roman" w:hAnsi="Times New Roman" w:cs="Times New Roman"/>
          <w:sz w:val="24"/>
          <w:szCs w:val="24"/>
        </w:rPr>
        <w:t>Методикой формирования фонда оплаты труда муниципальных учреждений в сфере спорта и молодежной политики, утвержденной постановлением Администрации город</w:t>
      </w:r>
      <w:r w:rsidR="005B3719" w:rsidRPr="00D808FC">
        <w:rPr>
          <w:rFonts w:ascii="Times New Roman" w:hAnsi="Times New Roman" w:cs="Times New Roman"/>
          <w:sz w:val="24"/>
          <w:szCs w:val="24"/>
        </w:rPr>
        <w:t xml:space="preserve">а Тюмени № 90-пк от 03.12.2009г 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формировании фонда оплаты труда муниципальных учреждений в сфере спорта и молодёжной политики», Постановлением Администрации города Тюмени от 21.12.2015 N 312-пк "Об утверждении порядка разработки и установления тарифов на платные образовательные и иные услуги, оказываемые муниципальными автономными образовательными организациями города Тюмени сверх установленного муниципального задания"</w:t>
      </w:r>
    </w:p>
    <w:p w:rsidR="00F80BCB" w:rsidRPr="00D808FC" w:rsidRDefault="00F80BCB" w:rsidP="00F80BCB">
      <w:pPr>
        <w:pStyle w:val="a4"/>
        <w:tabs>
          <w:tab w:val="left" w:pos="284"/>
          <w:tab w:val="left" w:pos="426"/>
        </w:tabs>
        <w:jc w:val="both"/>
        <w:rPr>
          <w:szCs w:val="24"/>
        </w:rPr>
      </w:pPr>
      <w:r w:rsidRPr="00D808FC">
        <w:rPr>
          <w:szCs w:val="24"/>
        </w:rPr>
        <w:t>1.</w:t>
      </w:r>
      <w:r w:rsidR="004A5016" w:rsidRPr="00D808FC">
        <w:rPr>
          <w:szCs w:val="24"/>
        </w:rPr>
        <w:t xml:space="preserve">2. </w:t>
      </w:r>
      <w:r w:rsidRPr="00D808FC">
        <w:rPr>
          <w:szCs w:val="24"/>
        </w:rPr>
        <w:t xml:space="preserve">Заработная плата </w:t>
      </w:r>
      <w:r w:rsidR="004A5016" w:rsidRPr="00D808FC">
        <w:rPr>
          <w:szCs w:val="24"/>
        </w:rPr>
        <w:t xml:space="preserve">работников </w:t>
      </w:r>
      <w:r w:rsidRPr="00D808FC">
        <w:rPr>
          <w:szCs w:val="24"/>
        </w:rPr>
        <w:t>Учреждения включает:</w:t>
      </w:r>
    </w:p>
    <w:p w:rsidR="004A5016" w:rsidRPr="00D808FC" w:rsidRDefault="00F80BCB" w:rsidP="00F80BCB">
      <w:pPr>
        <w:pStyle w:val="a4"/>
        <w:jc w:val="both"/>
        <w:rPr>
          <w:szCs w:val="24"/>
        </w:rPr>
      </w:pPr>
      <w:r w:rsidRPr="00D808FC">
        <w:rPr>
          <w:szCs w:val="24"/>
        </w:rPr>
        <w:t>1.</w:t>
      </w:r>
      <w:r w:rsidR="004A5016" w:rsidRPr="00D808FC">
        <w:rPr>
          <w:szCs w:val="24"/>
        </w:rPr>
        <w:t>2</w:t>
      </w:r>
      <w:r w:rsidRPr="00D808FC">
        <w:rPr>
          <w:szCs w:val="24"/>
        </w:rPr>
        <w:t xml:space="preserve">.1. </w:t>
      </w:r>
      <w:r w:rsidRPr="00D808FC">
        <w:rPr>
          <w:bCs/>
          <w:szCs w:val="24"/>
        </w:rPr>
        <w:t>Базовую (гарантированную) часть заработной платы и выплаты компенсационного характера</w:t>
      </w:r>
      <w:r w:rsidR="004A5016" w:rsidRPr="00D808FC">
        <w:rPr>
          <w:bCs/>
          <w:szCs w:val="24"/>
        </w:rPr>
        <w:t xml:space="preserve">, предусмотренные действующим трудовым законодательством. </w:t>
      </w:r>
    </w:p>
    <w:p w:rsidR="005B4127" w:rsidRPr="00D808FC" w:rsidRDefault="00F80BCB" w:rsidP="00F80BCB">
      <w:pPr>
        <w:pStyle w:val="a4"/>
        <w:tabs>
          <w:tab w:val="num" w:pos="1211"/>
        </w:tabs>
        <w:jc w:val="both"/>
        <w:rPr>
          <w:szCs w:val="24"/>
        </w:rPr>
      </w:pPr>
      <w:r w:rsidRPr="00D808FC">
        <w:rPr>
          <w:szCs w:val="24"/>
        </w:rPr>
        <w:t>1.</w:t>
      </w:r>
      <w:r w:rsidR="004A5016" w:rsidRPr="00D808FC">
        <w:rPr>
          <w:szCs w:val="24"/>
        </w:rPr>
        <w:t>2</w:t>
      </w:r>
      <w:r w:rsidRPr="00D808FC">
        <w:rPr>
          <w:szCs w:val="24"/>
        </w:rPr>
        <w:t>.2.</w:t>
      </w:r>
      <w:r w:rsidR="004A5016" w:rsidRPr="00D808FC">
        <w:rPr>
          <w:szCs w:val="24"/>
        </w:rPr>
        <w:t xml:space="preserve"> </w:t>
      </w:r>
      <w:r w:rsidRPr="00D808FC">
        <w:rPr>
          <w:szCs w:val="24"/>
        </w:rPr>
        <w:t>Стимулирующую (переменную) часть заработной платы – выплата стимулирующего характера за качество труда.</w:t>
      </w:r>
      <w:r w:rsidR="005B4127" w:rsidRPr="00D808FC">
        <w:rPr>
          <w:szCs w:val="24"/>
        </w:rPr>
        <w:t xml:space="preserve"> </w:t>
      </w:r>
      <w:r w:rsidRPr="00D808FC">
        <w:rPr>
          <w:bCs/>
          <w:szCs w:val="24"/>
        </w:rPr>
        <w:t>Стимулирующая (переменная) часть заработной платы Работника</w:t>
      </w:r>
      <w:r w:rsidRPr="00D808FC">
        <w:rPr>
          <w:b/>
          <w:bCs/>
          <w:szCs w:val="24"/>
        </w:rPr>
        <w:t xml:space="preserve"> – </w:t>
      </w:r>
      <w:r w:rsidRPr="00D808FC">
        <w:rPr>
          <w:szCs w:val="24"/>
        </w:rPr>
        <w:t>установленная</w:t>
      </w:r>
      <w:r w:rsidRPr="00D808FC">
        <w:rPr>
          <w:b/>
          <w:bCs/>
          <w:szCs w:val="24"/>
        </w:rPr>
        <w:t xml:space="preserve">  </w:t>
      </w:r>
      <w:r w:rsidRPr="00D808FC">
        <w:rPr>
          <w:szCs w:val="24"/>
        </w:rPr>
        <w:t xml:space="preserve">Работнику сумма стимулирующего характера за качество работы, которая будет ему выплачена в полном размере при условии выполнения им показателей эффективности деятельности, установленных  </w:t>
      </w:r>
      <w:r w:rsidR="005B4127" w:rsidRPr="00D808FC">
        <w:rPr>
          <w:szCs w:val="24"/>
        </w:rPr>
        <w:t>настоящим Положением</w:t>
      </w:r>
      <w:r w:rsidRPr="00D808FC">
        <w:rPr>
          <w:szCs w:val="24"/>
        </w:rPr>
        <w:t>.</w:t>
      </w:r>
      <w:r w:rsidR="005B4127" w:rsidRPr="00D808FC">
        <w:rPr>
          <w:szCs w:val="24"/>
        </w:rPr>
        <w:t xml:space="preserve"> </w:t>
      </w:r>
    </w:p>
    <w:p w:rsidR="00F80BCB" w:rsidRPr="00D808FC" w:rsidRDefault="00F80BCB" w:rsidP="00F80BCB">
      <w:pPr>
        <w:pStyle w:val="a4"/>
        <w:tabs>
          <w:tab w:val="num" w:pos="1211"/>
        </w:tabs>
        <w:jc w:val="both"/>
        <w:rPr>
          <w:szCs w:val="24"/>
          <w:u w:val="single"/>
        </w:rPr>
      </w:pPr>
      <w:r w:rsidRPr="00D808FC">
        <w:rPr>
          <w:szCs w:val="24"/>
        </w:rPr>
        <w:t>1.</w:t>
      </w:r>
      <w:r w:rsidR="005B4127" w:rsidRPr="00D808FC">
        <w:rPr>
          <w:szCs w:val="24"/>
        </w:rPr>
        <w:t xml:space="preserve">2.3. </w:t>
      </w:r>
      <w:r w:rsidRPr="00D808FC">
        <w:rPr>
          <w:szCs w:val="24"/>
        </w:rPr>
        <w:t>На сумму заработной платы начисляется районный коэффициент 15%.</w:t>
      </w:r>
    </w:p>
    <w:p w:rsidR="005B4127" w:rsidRPr="00D808FC" w:rsidRDefault="00F80BCB" w:rsidP="005B4127">
      <w:pPr>
        <w:pStyle w:val="a4"/>
        <w:jc w:val="both"/>
        <w:rPr>
          <w:szCs w:val="24"/>
        </w:rPr>
      </w:pPr>
      <w:r w:rsidRPr="00D808FC">
        <w:rPr>
          <w:szCs w:val="24"/>
        </w:rPr>
        <w:t>1.</w:t>
      </w:r>
      <w:r w:rsidR="00EC3A8B" w:rsidRPr="00D808FC">
        <w:rPr>
          <w:szCs w:val="24"/>
        </w:rPr>
        <w:t>3</w:t>
      </w:r>
      <w:r w:rsidRPr="00D808FC">
        <w:rPr>
          <w:szCs w:val="24"/>
        </w:rPr>
        <w:t>. Виды и размеры надбавок, доплат и иные выплаты Работнику, не указанные в трудовом договоре и дополнительном соглашении, устанавл</w:t>
      </w:r>
      <w:r w:rsidR="005B4127" w:rsidRPr="00D808FC">
        <w:rPr>
          <w:szCs w:val="24"/>
        </w:rPr>
        <w:t>иваются настоящим Положением</w:t>
      </w:r>
      <w:r w:rsidRPr="00D808FC">
        <w:rPr>
          <w:szCs w:val="24"/>
        </w:rPr>
        <w:t>.</w:t>
      </w:r>
    </w:p>
    <w:p w:rsidR="004A5016" w:rsidRPr="00D808FC" w:rsidRDefault="004070B8" w:rsidP="005B4127">
      <w:pPr>
        <w:pStyle w:val="a4"/>
        <w:jc w:val="both"/>
        <w:rPr>
          <w:szCs w:val="24"/>
        </w:rPr>
      </w:pPr>
      <w:r w:rsidRPr="00D808FC">
        <w:rPr>
          <w:szCs w:val="24"/>
        </w:rPr>
        <w:t>1.4</w:t>
      </w:r>
      <w:r w:rsidR="00EC3A8B" w:rsidRPr="00D808FC">
        <w:rPr>
          <w:szCs w:val="24"/>
        </w:rPr>
        <w:t xml:space="preserve">. </w:t>
      </w:r>
      <w:r w:rsidR="004A5016" w:rsidRPr="00D808FC">
        <w:rPr>
          <w:szCs w:val="24"/>
        </w:rPr>
        <w:t xml:space="preserve">При расчете заработной платы педагогическим работникам применяется почасовой метод оплаты труда (вне зависимости от года обучения). </w:t>
      </w:r>
    </w:p>
    <w:p w:rsidR="004A5016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Расчет оклада (должностного оклада) (До) производится по формуле:</w:t>
      </w:r>
    </w:p>
    <w:p w:rsidR="004A5016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До = Об x Кн / 18 x S</w:t>
      </w:r>
    </w:p>
    <w:p w:rsidR="004A5016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где, Об - базовый оклад по должности в соответствии со штатным расписанием;</w:t>
      </w:r>
    </w:p>
    <w:p w:rsidR="004A5016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Кн - количество часов в неделю, проводимых тренером-преподавателем тренировочных (учебных) занятий согласно утвержденному учебному плану,</w:t>
      </w:r>
    </w:p>
    <w:p w:rsidR="004A5016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S - коэффициент специализации:</w:t>
      </w:r>
    </w:p>
    <w:p w:rsidR="004A5016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для видов спорта: шахматы, бильярдный спорт - 1,00;</w:t>
      </w:r>
    </w:p>
    <w:p w:rsidR="00F80BCB" w:rsidRPr="00D808FC" w:rsidRDefault="004A5016" w:rsidP="004A5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для видов спорта: велоспорт-шоссе, велоспорт – маунтинбайк, три</w:t>
      </w:r>
      <w:r w:rsidR="00EC3A8B" w:rsidRPr="00D808FC">
        <w:rPr>
          <w:rFonts w:ascii="Times New Roman" w:hAnsi="Times New Roman" w:cs="Times New Roman"/>
          <w:sz w:val="24"/>
          <w:szCs w:val="24"/>
        </w:rPr>
        <w:t>а</w:t>
      </w:r>
      <w:r w:rsidRPr="00D808FC">
        <w:rPr>
          <w:rFonts w:ascii="Times New Roman" w:hAnsi="Times New Roman" w:cs="Times New Roman"/>
          <w:sz w:val="24"/>
          <w:szCs w:val="24"/>
        </w:rPr>
        <w:t>тлон - 1,15.</w:t>
      </w:r>
    </w:p>
    <w:p w:rsidR="0062490B" w:rsidRPr="00D808FC" w:rsidRDefault="0062490B" w:rsidP="0062490B">
      <w:pPr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1.5. Месячная заработная плата работника, полностью отработавшего за этот период норму рабочего времени и выполнившего нормы труда (должностные обязанности), должна быть не ниже величины прожиточного минимума установленного в Тюменской области.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D808FC">
        <w:rPr>
          <w:rFonts w:ascii="Times New Roman" w:hAnsi="Times New Roman" w:cs="Times New Roman"/>
          <w:sz w:val="24"/>
          <w:szCs w:val="24"/>
        </w:rPr>
        <w:t xml:space="preserve">2. Формирование фонда оплаты труда </w:t>
      </w:r>
      <w:r w:rsidR="001A4BFB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lastRenderedPageBreak/>
        <w:t xml:space="preserve">2.1. Фонд оплаты труда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формируется на календарный год исходя из объема бюджетных ассигнований на текущий финансовый год, доведенных до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в соответствии с муниципальным заданием, и средств, поступающих от приносящей доход деятельности.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2.</w:t>
      </w:r>
      <w:r w:rsidR="0094108F" w:rsidRPr="00D808FC">
        <w:rPr>
          <w:rFonts w:ascii="Times New Roman" w:hAnsi="Times New Roman" w:cs="Times New Roman"/>
          <w:sz w:val="24"/>
          <w:szCs w:val="24"/>
        </w:rPr>
        <w:t>2</w:t>
      </w:r>
      <w:r w:rsidRPr="00D808FC">
        <w:rPr>
          <w:rFonts w:ascii="Times New Roman" w:hAnsi="Times New Roman" w:cs="Times New Roman"/>
          <w:sz w:val="24"/>
          <w:szCs w:val="24"/>
        </w:rPr>
        <w:t xml:space="preserve">. Формирование фонда оплаты труда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осуществляется в пределах объема бюджетных ассигнований на текущий финансовый год, доведенных до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в соответствии с муниципальным заданием, исходя из: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а) норматива на оказание услуги, выполнение работ, установленного муниципальным правовым актом города Тюмени;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б) количества получателей услуги.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2.3. Формирование фонда оплаты труда работников </w:t>
      </w:r>
      <w:r w:rsidR="0094108F" w:rsidRPr="00D808FC">
        <w:rPr>
          <w:rFonts w:ascii="Times New Roman" w:hAnsi="Times New Roman" w:cs="Times New Roman"/>
          <w:sz w:val="24"/>
          <w:szCs w:val="24"/>
        </w:rPr>
        <w:t xml:space="preserve"> 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из средств, поступающих от приносящей доход деятельности, осуществляется </w:t>
      </w:r>
      <w:r w:rsidR="0094108F" w:rsidRPr="00D808FC">
        <w:rPr>
          <w:rFonts w:ascii="Times New Roman" w:hAnsi="Times New Roman" w:cs="Times New Roman"/>
          <w:sz w:val="24"/>
          <w:szCs w:val="24"/>
        </w:rPr>
        <w:t>директором У</w:t>
      </w:r>
      <w:r w:rsidRPr="00D808FC">
        <w:rPr>
          <w:rFonts w:ascii="Times New Roman" w:hAnsi="Times New Roman" w:cs="Times New Roman"/>
          <w:sz w:val="24"/>
          <w:szCs w:val="24"/>
        </w:rPr>
        <w:t>чреждения самостоятельно</w:t>
      </w:r>
      <w:r w:rsidR="0094108F" w:rsidRPr="00D808FC">
        <w:rPr>
          <w:rFonts w:ascii="Times New Roman" w:hAnsi="Times New Roman" w:cs="Times New Roman"/>
          <w:sz w:val="24"/>
          <w:szCs w:val="24"/>
        </w:rPr>
        <w:t>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из средств, поступающих от приносящей доход деятельности, формируется для оплаты труда </w:t>
      </w:r>
      <w:r w:rsidR="0094108F" w:rsidRPr="00D808FC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D808F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чреждения, задействованных в процессе деятельности, приносящей доход.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2.5. Фонд оплаты труда в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отражается в плане финансово-хозяйственной деятельности </w:t>
      </w:r>
      <w:r w:rsidR="005B4127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2.</w:t>
      </w:r>
      <w:r w:rsidR="0094108F" w:rsidRPr="00D808FC">
        <w:rPr>
          <w:rFonts w:ascii="Times New Roman" w:hAnsi="Times New Roman" w:cs="Times New Roman"/>
          <w:sz w:val="24"/>
          <w:szCs w:val="24"/>
        </w:rPr>
        <w:t>6</w:t>
      </w:r>
      <w:r w:rsidRPr="00D808FC">
        <w:rPr>
          <w:rFonts w:ascii="Times New Roman" w:hAnsi="Times New Roman" w:cs="Times New Roman"/>
          <w:sz w:val="24"/>
          <w:szCs w:val="24"/>
        </w:rPr>
        <w:t xml:space="preserve">. Фонд оплаты труда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в пределах объема бюджетных ассигнований на текущий финансовый год, доведенных до </w:t>
      </w:r>
      <w:r w:rsidR="005B4127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в соответствии с муниципальным заданием (ФОТ), рассчитывается по следующей формуле: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ФОТ = О x Д, где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О - объем средств, полученный </w:t>
      </w:r>
      <w:r w:rsidR="0094108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чреждением на оказание услуги, выполнение работ в соответствии с муниципальным заданием;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Д - доля фонда оплаты труда в общем объеме средств, полученном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чреждением в соответствии с муниципальным заданием.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2.8. При формировании расходов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доля фонда оплаты труда в общем объеме средств, полученном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чреждением на оказание услуги, выполнение работ, в соответствии с муниципальным заданием, определяется самостоятельно и составляет не более 98,5%.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2.9. Фонд оплаты труда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чреждения, сформированный исходя из объема бюджетных ассигнований на текущий финансовый год, доведенных до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в соответствии с муниципальным заданием, состоит из базовой части (ФОТб), стимулирующей части (ФОТс) и социальной части (ФОТсоц).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Объем базовой части (ФОТб) и стимулирующей части (ФОТс) фонда определяется после формирования социальной части (ФОТсоц) на текущий финансовый год.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Объем социальной части (ФОТсоц) определяется исходя из установленного размера выплат, указанных в </w:t>
      </w:r>
      <w:hyperlink w:anchor="Par88" w:history="1">
        <w:r w:rsidRPr="00D808FC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="00C7260F" w:rsidRPr="00D808F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808FC">
        <w:rPr>
          <w:rFonts w:ascii="Times New Roman" w:hAnsi="Times New Roman" w:cs="Times New Roman"/>
          <w:sz w:val="24"/>
          <w:szCs w:val="24"/>
        </w:rPr>
        <w:t>, и численности работников, имеющих право на их получение в текущем финансовом году.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Объем базовой части (ФОТб) составляет не более 70% фонда оплаты труда 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(за вычетом объема социальной части).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Объем стимулирующей части (ФОТс) составляет не менее 30% фонда оплаты труда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(за вычетом объема социальной части).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Объем базовой и стимулирующей части фонда оплаты труда определяется приказом </w:t>
      </w:r>
      <w:r w:rsidR="00C7260F" w:rsidRPr="00D808FC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D808FC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 момента доведения Департаментом муниципального задания до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под роспись.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D808FC">
        <w:rPr>
          <w:rFonts w:ascii="Times New Roman" w:hAnsi="Times New Roman" w:cs="Times New Roman"/>
          <w:sz w:val="24"/>
          <w:szCs w:val="24"/>
        </w:rPr>
        <w:t>2.10. За счет средств социальной части (ФОТсоц) осуществляются следующие выплаты: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D808FC">
        <w:rPr>
          <w:rFonts w:ascii="Times New Roman" w:hAnsi="Times New Roman" w:cs="Times New Roman"/>
          <w:sz w:val="24"/>
          <w:szCs w:val="24"/>
        </w:rPr>
        <w:t xml:space="preserve">а) единовременные выплаты </w:t>
      </w:r>
      <w:r w:rsidR="00C7260F" w:rsidRPr="00D808F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и педагогическим работникам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по достижении возраста 60 лет мужчинами и 55 лет женщинами, вне зависимости от дальнейшего продолжения или прекращения ими трудовых отношений с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чреждением, в размере 20 тысяч рублей.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б) материальная помощь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директору</w:t>
      </w:r>
      <w:r w:rsidRPr="00D808FC">
        <w:rPr>
          <w:rFonts w:ascii="Times New Roman" w:hAnsi="Times New Roman" w:cs="Times New Roman"/>
          <w:sz w:val="24"/>
          <w:szCs w:val="24"/>
        </w:rPr>
        <w:t xml:space="preserve"> 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к ежегодному оплачиваемому отпуску.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lastRenderedPageBreak/>
        <w:t xml:space="preserve">2.11. Сложившаяся экономия социальной части фонда оплаты труда (ФОТсоц) подлежит распределению в течение текущего года на осуществление стимулирующих выплат (премий) работникам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в соответствии с </w:t>
      </w:r>
      <w:hyperlink w:anchor="Par116" w:history="1">
        <w:r w:rsidRPr="00D808FC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D808F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7260F" w:rsidRPr="00D808FC">
        <w:rPr>
          <w:rFonts w:ascii="Times New Roman" w:hAnsi="Times New Roman" w:cs="Times New Roman"/>
          <w:sz w:val="24"/>
          <w:szCs w:val="24"/>
        </w:rPr>
        <w:t>го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Положения</w:t>
      </w:r>
      <w:r w:rsidRPr="00D808FC">
        <w:rPr>
          <w:rFonts w:ascii="Times New Roman" w:hAnsi="Times New Roman" w:cs="Times New Roman"/>
          <w:sz w:val="24"/>
          <w:szCs w:val="24"/>
        </w:rPr>
        <w:t>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2.12. Выплата педагогическому работнику, предусмотренная </w:t>
      </w:r>
      <w:hyperlink w:anchor="Par89" w:history="1">
        <w:r w:rsidRPr="00D808FC">
          <w:rPr>
            <w:rFonts w:ascii="Times New Roman" w:hAnsi="Times New Roman" w:cs="Times New Roman"/>
            <w:sz w:val="24"/>
            <w:szCs w:val="24"/>
          </w:rPr>
          <w:t>подпунктом "а" пункта 2.10</w:t>
        </w:r>
      </w:hyperlink>
      <w:r w:rsidRPr="00D808F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B4127" w:rsidRPr="00D808FC">
        <w:rPr>
          <w:rFonts w:ascii="Times New Roman" w:hAnsi="Times New Roman" w:cs="Times New Roman"/>
          <w:sz w:val="24"/>
          <w:szCs w:val="24"/>
        </w:rPr>
        <w:t>го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1A4BFB" w:rsidRPr="00D808FC">
        <w:rPr>
          <w:rFonts w:ascii="Times New Roman" w:hAnsi="Times New Roman" w:cs="Times New Roman"/>
          <w:sz w:val="24"/>
          <w:szCs w:val="24"/>
        </w:rPr>
        <w:t>Положения</w:t>
      </w:r>
      <w:r w:rsidRPr="00D808FC">
        <w:rPr>
          <w:rFonts w:ascii="Times New Roman" w:hAnsi="Times New Roman" w:cs="Times New Roman"/>
          <w:sz w:val="24"/>
          <w:szCs w:val="24"/>
        </w:rPr>
        <w:t xml:space="preserve">, производится на основании приказа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директора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по письменному заявлению педагогического работника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2.13. Выплаты руководителям муниципальных учреждений, предусмотренные </w:t>
      </w:r>
      <w:hyperlink w:anchor="Par88" w:history="1">
        <w:r w:rsidRPr="00D808FC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D808FC">
        <w:rPr>
          <w:rFonts w:ascii="Times New Roman" w:hAnsi="Times New Roman" w:cs="Times New Roman"/>
          <w:sz w:val="24"/>
          <w:szCs w:val="24"/>
        </w:rPr>
        <w:t xml:space="preserve"> настоящей Методики, производятся в соответствии с </w:t>
      </w:r>
      <w:hyperlink w:anchor="Par205" w:history="1">
        <w:r w:rsidRPr="00D808F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808FC">
        <w:rPr>
          <w:rFonts w:ascii="Times New Roman" w:hAnsi="Times New Roman" w:cs="Times New Roman"/>
          <w:sz w:val="24"/>
          <w:szCs w:val="24"/>
        </w:rPr>
        <w:t xml:space="preserve"> об оплате труда руководителей муниципальных учреждений в сфер</w:t>
      </w:r>
      <w:r w:rsidR="00C7260F" w:rsidRPr="00D808FC">
        <w:rPr>
          <w:rFonts w:ascii="Times New Roman" w:hAnsi="Times New Roman" w:cs="Times New Roman"/>
          <w:sz w:val="24"/>
          <w:szCs w:val="24"/>
        </w:rPr>
        <w:t>е спорта и молодежной политики</w:t>
      </w:r>
      <w:r w:rsidR="005B4127" w:rsidRPr="00D808FC">
        <w:rPr>
          <w:rFonts w:ascii="Times New Roman" w:hAnsi="Times New Roman" w:cs="Times New Roman"/>
          <w:sz w:val="24"/>
          <w:szCs w:val="24"/>
        </w:rPr>
        <w:t>.</w:t>
      </w:r>
      <w:r w:rsidR="00C7260F" w:rsidRPr="00D8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2.14. На выплаты, предусмотренные </w:t>
      </w:r>
      <w:hyperlink w:anchor="Par89" w:history="1">
        <w:r w:rsidRPr="00D808FC">
          <w:rPr>
            <w:rFonts w:ascii="Times New Roman" w:hAnsi="Times New Roman" w:cs="Times New Roman"/>
            <w:sz w:val="24"/>
            <w:szCs w:val="24"/>
          </w:rPr>
          <w:t>подпунктом "а" пункта 2.10</w:t>
        </w:r>
      </w:hyperlink>
      <w:r w:rsidRPr="00D808F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7260F" w:rsidRPr="00D808FC">
        <w:rPr>
          <w:rFonts w:ascii="Times New Roman" w:hAnsi="Times New Roman" w:cs="Times New Roman"/>
          <w:sz w:val="24"/>
          <w:szCs w:val="24"/>
        </w:rPr>
        <w:t>го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Положения</w:t>
      </w:r>
      <w:r w:rsidRPr="00D808FC">
        <w:rPr>
          <w:rFonts w:ascii="Times New Roman" w:hAnsi="Times New Roman" w:cs="Times New Roman"/>
          <w:sz w:val="24"/>
          <w:szCs w:val="24"/>
        </w:rPr>
        <w:t>, районный коэффициент не начисляется.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1"/>
      <w:bookmarkEnd w:id="4"/>
      <w:r w:rsidRPr="00D808FC">
        <w:rPr>
          <w:rFonts w:ascii="Times New Roman" w:hAnsi="Times New Roman" w:cs="Times New Roman"/>
          <w:sz w:val="24"/>
          <w:szCs w:val="24"/>
        </w:rPr>
        <w:t>3. Распределение базовой части фонда оплаты труда</w:t>
      </w:r>
    </w:p>
    <w:p w:rsidR="008D3F0A" w:rsidRPr="00D808FC" w:rsidRDefault="00C7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У</w:t>
      </w:r>
      <w:r w:rsidR="008D3F0A" w:rsidRPr="00D808FC">
        <w:rPr>
          <w:rFonts w:ascii="Times New Roman" w:hAnsi="Times New Roman" w:cs="Times New Roman"/>
          <w:sz w:val="24"/>
          <w:szCs w:val="24"/>
        </w:rPr>
        <w:t>чреждения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3.1. Базовая часть фонда оплаты труда (ФОТб) обеспечивает гарантированную заработную плату работников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3.2.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 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формирует и утверждает штатное расписание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в пределах базовой части фонда оплаты труда (ФОТб).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3.3. Базовая часть фонда оплаты труда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состоит из должностных окладов и выплат компенсационного характера (в рублях или процентном отношении к размеру должностного оклада).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3.4. Размеры должностных окладов и выплат компенсационного характера устанавливаются в соответствии с Трудовым законодательством Российской Федерации, настоящ</w:t>
      </w:r>
      <w:r w:rsidR="00C7260F" w:rsidRPr="00D808FC">
        <w:rPr>
          <w:rFonts w:ascii="Times New Roman" w:hAnsi="Times New Roman" w:cs="Times New Roman"/>
          <w:sz w:val="24"/>
          <w:szCs w:val="24"/>
        </w:rPr>
        <w:t>им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Положением</w:t>
      </w:r>
      <w:r w:rsidRPr="00D808FC">
        <w:rPr>
          <w:rFonts w:ascii="Times New Roman" w:hAnsi="Times New Roman" w:cs="Times New Roman"/>
          <w:sz w:val="24"/>
          <w:szCs w:val="24"/>
        </w:rPr>
        <w:t xml:space="preserve">, штатным расписанием и иными локальными правовыми актами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чреждения, в трудовых договорах, заключаемых с работниками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директором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9A2CC0" w:rsidRPr="00D808FC" w:rsidRDefault="005B4127" w:rsidP="009A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3.4.1. </w:t>
      </w:r>
      <w:r w:rsidR="009A2CC0" w:rsidRPr="00D808FC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в следующем размере: </w:t>
      </w:r>
    </w:p>
    <w:p w:rsidR="005B4127" w:rsidRPr="00D808FC" w:rsidRDefault="009A2CC0" w:rsidP="009A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а) в</w:t>
      </w:r>
      <w:r w:rsidR="005B4127" w:rsidRPr="00D808FC">
        <w:rPr>
          <w:rFonts w:ascii="Times New Roman" w:hAnsi="Times New Roman" w:cs="Times New Roman"/>
          <w:sz w:val="24"/>
          <w:szCs w:val="24"/>
        </w:rPr>
        <w:t>ыплаты работникам, занятым на тяжелых работах, работах с вредными и (или) опасными и иными особыми условиями труда</w:t>
      </w:r>
      <w:r w:rsidRPr="00D808FC">
        <w:rPr>
          <w:rFonts w:ascii="Times New Roman" w:hAnsi="Times New Roman" w:cs="Times New Roman"/>
          <w:sz w:val="24"/>
          <w:szCs w:val="24"/>
        </w:rPr>
        <w:t xml:space="preserve"> – 4 % должностного оклада;</w:t>
      </w:r>
    </w:p>
    <w:p w:rsidR="009A2CC0" w:rsidRPr="00D808FC" w:rsidRDefault="009A2CC0" w:rsidP="009A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б)  в</w:t>
      </w:r>
      <w:r w:rsidR="005B4127" w:rsidRPr="00D808FC">
        <w:rPr>
          <w:rFonts w:ascii="Times New Roman" w:hAnsi="Times New Roman" w:cs="Times New Roman"/>
          <w:sz w:val="24"/>
          <w:szCs w:val="24"/>
        </w:rPr>
        <w:t>ыплаты за работу в условиях, отклоняющихся от нормальных</w:t>
      </w:r>
      <w:r w:rsidRPr="00D8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127" w:rsidRPr="00D808FC" w:rsidRDefault="009A2CC0" w:rsidP="009A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-</w:t>
      </w:r>
      <w:r w:rsidR="00484C5D" w:rsidRPr="00D808FC">
        <w:rPr>
          <w:rFonts w:ascii="Times New Roman" w:hAnsi="Times New Roman" w:cs="Times New Roman"/>
          <w:sz w:val="24"/>
          <w:szCs w:val="24"/>
        </w:rPr>
        <w:t xml:space="preserve"> п</w:t>
      </w:r>
      <w:r w:rsidRPr="00D808FC">
        <w:rPr>
          <w:rFonts w:ascii="Times New Roman" w:hAnsi="Times New Roman" w:cs="Times New Roman"/>
          <w:sz w:val="24"/>
          <w:szCs w:val="24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 w:rsidR="00484C5D" w:rsidRPr="00D808FC">
        <w:rPr>
          <w:rFonts w:ascii="Times New Roman" w:hAnsi="Times New Roman" w:cs="Times New Roman"/>
          <w:sz w:val="24"/>
          <w:szCs w:val="24"/>
        </w:rPr>
        <w:t xml:space="preserve"> р</w:t>
      </w:r>
      <w:r w:rsidRPr="00D808FC">
        <w:rPr>
          <w:rFonts w:ascii="Times New Roman" w:hAnsi="Times New Roman" w:cs="Times New Roman"/>
          <w:sz w:val="24"/>
          <w:szCs w:val="24"/>
        </w:rPr>
        <w:t>азмер доплаты устанавливается по соглашению сторон трудового договора с учетом содержания и (или) объема дополнительной работы</w:t>
      </w:r>
      <w:r w:rsidR="00484C5D" w:rsidRPr="00D808FC">
        <w:rPr>
          <w:rFonts w:ascii="Times New Roman" w:hAnsi="Times New Roman" w:cs="Times New Roman"/>
          <w:sz w:val="24"/>
          <w:szCs w:val="24"/>
        </w:rPr>
        <w:t>;</w:t>
      </w:r>
    </w:p>
    <w:p w:rsidR="009A2CC0" w:rsidRPr="00D808FC" w:rsidRDefault="009A2CC0" w:rsidP="009A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- размер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9A2CC0" w:rsidRPr="00D808FC" w:rsidRDefault="00484C5D" w:rsidP="009A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3.4.2. Иные выплаты компенсационного характера выплачиваются в размере, предусмотренном трудовым законодательством. </w:t>
      </w:r>
    </w:p>
    <w:p w:rsidR="008D3F0A" w:rsidRPr="00D808FC" w:rsidRDefault="008D3F0A" w:rsidP="005B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3.5. Должностные оклады заместителям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директора</w:t>
      </w:r>
      <w:r w:rsidRPr="00D808FC">
        <w:rPr>
          <w:rFonts w:ascii="Times New Roman" w:hAnsi="Times New Roman" w:cs="Times New Roman"/>
          <w:sz w:val="24"/>
          <w:szCs w:val="24"/>
        </w:rPr>
        <w:t xml:space="preserve"> и главному бухгалтеру 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устанавливаются в пределах 60 - 80% от должностного оклада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директора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8D3F0A" w:rsidRPr="00D808FC" w:rsidRDefault="008D3F0A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3.6. В случае изменения фонда оплаты труда </w:t>
      </w:r>
      <w:r w:rsidR="00C7260F" w:rsidRPr="00D808FC">
        <w:rPr>
          <w:rFonts w:ascii="Times New Roman" w:hAnsi="Times New Roman" w:cs="Times New Roman"/>
          <w:sz w:val="24"/>
          <w:szCs w:val="24"/>
        </w:rPr>
        <w:t xml:space="preserve"> 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и (или) показателей, используемых при расчете должностных окладов работников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в соответствии с настоящ</w:t>
      </w:r>
      <w:r w:rsidR="00C7260F" w:rsidRPr="00D808FC">
        <w:rPr>
          <w:rFonts w:ascii="Times New Roman" w:hAnsi="Times New Roman" w:cs="Times New Roman"/>
          <w:sz w:val="24"/>
          <w:szCs w:val="24"/>
        </w:rPr>
        <w:t xml:space="preserve">им Положением, 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директором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 с работниками заключаются дополнительные соглашения к трудовым договорам, предусматривающие соответствующие изменения размеров должностных окладов и (или) выплат компенсационного характера.</w:t>
      </w:r>
    </w:p>
    <w:p w:rsidR="008D3F0A" w:rsidRPr="00D808FC" w:rsidRDefault="008D3F0A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3.7. Сложившаяся экономия базовой части фонда оплаты труда (ФОТб) подлежит распределению в течение текущего года на осуществление стимулирующих выплат (премий) работникам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 в соответствии с </w:t>
      </w:r>
      <w:hyperlink w:anchor="Par116" w:history="1">
        <w:r w:rsidRPr="00D808FC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D808F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7260F" w:rsidRPr="00D808FC">
        <w:rPr>
          <w:rFonts w:ascii="Times New Roman" w:hAnsi="Times New Roman" w:cs="Times New Roman"/>
          <w:sz w:val="24"/>
          <w:szCs w:val="24"/>
        </w:rPr>
        <w:t>го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Положения</w:t>
      </w:r>
      <w:r w:rsidRPr="00D808FC">
        <w:rPr>
          <w:rFonts w:ascii="Times New Roman" w:hAnsi="Times New Roman" w:cs="Times New Roman"/>
          <w:sz w:val="24"/>
          <w:szCs w:val="24"/>
        </w:rPr>
        <w:t>.</w:t>
      </w:r>
    </w:p>
    <w:p w:rsidR="001A4BFB" w:rsidRPr="00D808FC" w:rsidRDefault="001A4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 w:rsidRPr="00D808FC">
        <w:rPr>
          <w:rFonts w:ascii="Times New Roman" w:hAnsi="Times New Roman" w:cs="Times New Roman"/>
          <w:sz w:val="24"/>
          <w:szCs w:val="24"/>
        </w:rPr>
        <w:t>4. Распределение стимулирующей части фонда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lastRenderedPageBreak/>
        <w:t xml:space="preserve">оплаты труда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</w:t>
      </w:r>
    </w:p>
    <w:p w:rsidR="008D3F0A" w:rsidRPr="00D808FC" w:rsidRDefault="008D3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D808FC" w:rsidRDefault="008D3F0A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4.1. Стимулирующая часть фонда оплаты труда (ФОТс) включает в себя стимулирующие выплаты (премии) работникам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чреждения, которые ежемесячно распределяются в полном объеме.</w:t>
      </w:r>
    </w:p>
    <w:p w:rsidR="008D3F0A" w:rsidRPr="00D808FC" w:rsidRDefault="008D3F0A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4.2. Стимулирующая часть фонда оплаты труда (ФОТс) распределяется на всех работников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 xml:space="preserve">чреждения, за исключением </w:t>
      </w:r>
      <w:r w:rsidR="00C7260F" w:rsidRPr="00D808FC">
        <w:rPr>
          <w:rFonts w:ascii="Times New Roman" w:hAnsi="Times New Roman" w:cs="Times New Roman"/>
          <w:sz w:val="24"/>
          <w:szCs w:val="24"/>
        </w:rPr>
        <w:t>директора</w:t>
      </w:r>
      <w:r w:rsidRPr="00D808FC">
        <w:rPr>
          <w:rFonts w:ascii="Times New Roman" w:hAnsi="Times New Roman" w:cs="Times New Roman"/>
          <w:sz w:val="24"/>
          <w:szCs w:val="24"/>
        </w:rPr>
        <w:t xml:space="preserve"> </w:t>
      </w:r>
      <w:r w:rsidR="00C7260F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1A4BFB" w:rsidRPr="00D808FC" w:rsidRDefault="008D3F0A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4.</w:t>
      </w:r>
      <w:r w:rsidR="000413FD" w:rsidRPr="00D808FC">
        <w:rPr>
          <w:rFonts w:ascii="Times New Roman" w:hAnsi="Times New Roman" w:cs="Times New Roman"/>
          <w:sz w:val="24"/>
          <w:szCs w:val="24"/>
        </w:rPr>
        <w:t>3</w:t>
      </w:r>
      <w:r w:rsidRPr="00D808FC">
        <w:rPr>
          <w:rFonts w:ascii="Times New Roman" w:hAnsi="Times New Roman" w:cs="Times New Roman"/>
          <w:sz w:val="24"/>
          <w:szCs w:val="24"/>
        </w:rPr>
        <w:t>.</w:t>
      </w:r>
      <w:r w:rsidR="00B04BE5" w:rsidRPr="00D808FC">
        <w:rPr>
          <w:rFonts w:ascii="Times New Roman" w:hAnsi="Times New Roman" w:cs="Times New Roman"/>
          <w:sz w:val="24"/>
          <w:szCs w:val="24"/>
        </w:rPr>
        <w:t xml:space="preserve">  Сумма стимулирующей части заработной платы, подлежащая выплате Работнику в том или ином месяце, определяется по результатам его работы в указанном месяце с учетом выполнения показателей эффективности деятельности Работника, установленных настоящим Положением.</w:t>
      </w:r>
    </w:p>
    <w:p w:rsidR="000413FD" w:rsidRPr="00D808FC" w:rsidRDefault="000413FD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4.</w:t>
      </w:r>
      <w:r w:rsidR="00B83183" w:rsidRPr="00D808FC">
        <w:rPr>
          <w:rFonts w:ascii="Times New Roman" w:hAnsi="Times New Roman" w:cs="Times New Roman"/>
          <w:sz w:val="24"/>
          <w:szCs w:val="24"/>
        </w:rPr>
        <w:t>4</w:t>
      </w:r>
      <w:r w:rsidRPr="00D808FC">
        <w:rPr>
          <w:rFonts w:ascii="Times New Roman" w:hAnsi="Times New Roman" w:cs="Times New Roman"/>
          <w:sz w:val="24"/>
          <w:szCs w:val="24"/>
        </w:rPr>
        <w:t xml:space="preserve">. Распределение стимулирующих выплат (премий) работникам </w:t>
      </w:r>
      <w:r w:rsidR="00B83183" w:rsidRPr="00D808FC">
        <w:rPr>
          <w:rFonts w:ascii="Times New Roman" w:hAnsi="Times New Roman" w:cs="Times New Roman"/>
          <w:sz w:val="24"/>
          <w:szCs w:val="24"/>
        </w:rPr>
        <w:t>У</w:t>
      </w:r>
      <w:r w:rsidRPr="00D808FC">
        <w:rPr>
          <w:rFonts w:ascii="Times New Roman" w:hAnsi="Times New Roman" w:cs="Times New Roman"/>
          <w:sz w:val="24"/>
          <w:szCs w:val="24"/>
        </w:rPr>
        <w:t>чреждени</w:t>
      </w:r>
      <w:r w:rsidR="00B83183" w:rsidRPr="00D808FC">
        <w:rPr>
          <w:rFonts w:ascii="Times New Roman" w:hAnsi="Times New Roman" w:cs="Times New Roman"/>
          <w:sz w:val="24"/>
          <w:szCs w:val="24"/>
        </w:rPr>
        <w:t>я</w:t>
      </w:r>
      <w:r w:rsidRPr="00D808FC">
        <w:rPr>
          <w:rFonts w:ascii="Times New Roman" w:hAnsi="Times New Roman" w:cs="Times New Roman"/>
          <w:sz w:val="24"/>
          <w:szCs w:val="24"/>
        </w:rPr>
        <w:t xml:space="preserve"> осуществляется комиссией Учреждения по распределению стимулирующей части фонда оплаты труда (далее - Комиссия), состав которой утверждается приказом </w:t>
      </w:r>
      <w:r w:rsidR="00B83183" w:rsidRPr="00D808FC">
        <w:rPr>
          <w:rFonts w:ascii="Times New Roman" w:hAnsi="Times New Roman" w:cs="Times New Roman"/>
          <w:sz w:val="24"/>
          <w:szCs w:val="24"/>
        </w:rPr>
        <w:t>директора У</w:t>
      </w:r>
      <w:r w:rsidRPr="00D808FC">
        <w:rPr>
          <w:rFonts w:ascii="Times New Roman" w:hAnsi="Times New Roman" w:cs="Times New Roman"/>
          <w:sz w:val="24"/>
          <w:szCs w:val="24"/>
        </w:rPr>
        <w:t>чреждения, по результатам работы за месяц.</w:t>
      </w:r>
    </w:p>
    <w:p w:rsidR="00484C5D" w:rsidRPr="00D808FC" w:rsidRDefault="0062490B" w:rsidP="0048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4</w:t>
      </w:r>
      <w:r w:rsidR="00B83183" w:rsidRPr="00D808FC">
        <w:rPr>
          <w:rFonts w:ascii="Times New Roman" w:hAnsi="Times New Roman" w:cs="Times New Roman"/>
          <w:sz w:val="24"/>
          <w:szCs w:val="24"/>
        </w:rPr>
        <w:t>.</w:t>
      </w:r>
      <w:r w:rsidRPr="00D808FC">
        <w:rPr>
          <w:rFonts w:ascii="Times New Roman" w:hAnsi="Times New Roman" w:cs="Times New Roman"/>
          <w:sz w:val="24"/>
          <w:szCs w:val="24"/>
        </w:rPr>
        <w:t>5</w:t>
      </w:r>
      <w:r w:rsidR="00B83183" w:rsidRPr="00D808FC">
        <w:rPr>
          <w:rFonts w:ascii="Times New Roman" w:hAnsi="Times New Roman" w:cs="Times New Roman"/>
          <w:sz w:val="24"/>
          <w:szCs w:val="24"/>
        </w:rPr>
        <w:t>.</w:t>
      </w:r>
      <w:r w:rsidRPr="00D808FC">
        <w:rPr>
          <w:rFonts w:ascii="Times New Roman" w:hAnsi="Times New Roman" w:cs="Times New Roman"/>
          <w:sz w:val="24"/>
          <w:szCs w:val="24"/>
        </w:rPr>
        <w:t xml:space="preserve"> Комиссия создается численностью не менее пяти и не более семи членов. В состав Комиссии входят работники Учреждения. Комиссия избирает из своего состава председателя и секретаря. Секретарь ведет протокол заседания Комиссии. Заседания Комиссии проводятся не позднее 29-го числа текущего месяца.</w:t>
      </w:r>
    </w:p>
    <w:p w:rsidR="0062490B" w:rsidRPr="00D808FC" w:rsidRDefault="00484C5D" w:rsidP="0048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4.6.</w:t>
      </w:r>
      <w:r w:rsidR="0062490B" w:rsidRPr="00D808FC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открытым голосованием, большинством голосов, при условии присутствия не менее половины членов Комиссии. При равенстве голосов председатель Комиссии имеет право решающего голоса.</w:t>
      </w:r>
    </w:p>
    <w:p w:rsidR="000413FD" w:rsidRPr="00D808FC" w:rsidRDefault="00B83183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4.</w:t>
      </w:r>
      <w:r w:rsidR="00484C5D" w:rsidRPr="00D808FC">
        <w:rPr>
          <w:rFonts w:ascii="Times New Roman" w:hAnsi="Times New Roman" w:cs="Times New Roman"/>
          <w:sz w:val="24"/>
          <w:szCs w:val="24"/>
        </w:rPr>
        <w:t>7</w:t>
      </w:r>
      <w:r w:rsidRPr="00D808FC">
        <w:rPr>
          <w:rFonts w:ascii="Times New Roman" w:hAnsi="Times New Roman" w:cs="Times New Roman"/>
          <w:sz w:val="24"/>
          <w:szCs w:val="24"/>
        </w:rPr>
        <w:t xml:space="preserve">. </w:t>
      </w:r>
      <w:r w:rsidR="000413FD" w:rsidRPr="00D808FC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в форме протокола, который является основанием для издания приказа о премировании работников </w:t>
      </w:r>
      <w:r w:rsidRPr="00D808FC">
        <w:rPr>
          <w:rFonts w:ascii="Times New Roman" w:hAnsi="Times New Roman" w:cs="Times New Roman"/>
          <w:sz w:val="24"/>
          <w:szCs w:val="24"/>
        </w:rPr>
        <w:t>У</w:t>
      </w:r>
      <w:r w:rsidR="000413FD" w:rsidRPr="00D808FC">
        <w:rPr>
          <w:rFonts w:ascii="Times New Roman" w:hAnsi="Times New Roman" w:cs="Times New Roman"/>
          <w:sz w:val="24"/>
          <w:szCs w:val="24"/>
        </w:rPr>
        <w:t>чреждения.</w:t>
      </w:r>
    </w:p>
    <w:p w:rsidR="000413FD" w:rsidRPr="00D808FC" w:rsidRDefault="000413FD" w:rsidP="0048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>4.</w:t>
      </w:r>
      <w:r w:rsidR="00484C5D" w:rsidRPr="00D808FC">
        <w:rPr>
          <w:rFonts w:ascii="Times New Roman" w:hAnsi="Times New Roman" w:cs="Times New Roman"/>
          <w:sz w:val="24"/>
          <w:szCs w:val="24"/>
        </w:rPr>
        <w:t>8</w:t>
      </w:r>
      <w:r w:rsidRPr="00D808FC">
        <w:rPr>
          <w:rFonts w:ascii="Times New Roman" w:hAnsi="Times New Roman" w:cs="Times New Roman"/>
          <w:sz w:val="24"/>
          <w:szCs w:val="24"/>
        </w:rPr>
        <w:t>. На стимулирующие выплаты (премии) начисляется районный коэффициент.</w:t>
      </w:r>
    </w:p>
    <w:p w:rsidR="005B3719" w:rsidRPr="00D808FC" w:rsidRDefault="005B3719" w:rsidP="005B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19" w:rsidRPr="00D808FC" w:rsidRDefault="005B3719" w:rsidP="00C6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Оплата труда и премирование работников  МАУ ДО СДЮСШОР № 4 города Тюмени за счет средств, поступающих от приносящей доход деятельности. </w:t>
      </w:r>
    </w:p>
    <w:p w:rsidR="005B3719" w:rsidRPr="00D808FC" w:rsidRDefault="005B3719" w:rsidP="00C6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BF" w:rsidRPr="00C621BF" w:rsidRDefault="005B3719" w:rsidP="00C621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Фонд оплаты труда Учреждения</w:t>
      </w:r>
      <w:r w:rsidR="00C621BF" w:rsidRPr="00C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до 40 % от общего объема </w:t>
      </w: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о</w:t>
      </w:r>
      <w:r w:rsidR="00C621B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приносящей доход деятельности.</w:t>
      </w: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19" w:rsidRPr="00D808FC" w:rsidRDefault="007616A1" w:rsidP="00C6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Учреждения, из средств, поступающих от приносящей доход деятельности 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базовой части (ФОТб), стимулирующей части (ФОТс).</w:t>
      </w: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16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базовой части (ФОТб) составляет не более 10%  Фонда оплаты труда Учреждения, из средств, поступающих от приносящей доход деятельности. </w:t>
      </w: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16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Базовая часть фонда оплаты труда (ФОТб) обеспечивает гарантированную заработную плату основного персонала и персонала сопровождения Учреждения.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5.3.2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Базовая часть фонда оплаты труда Учреждения из средств, поступающих от приносящей доход деятельности, состоит из должностных окладов и выплат компенсационного характера (в рублях или процентном отношении к размеру должностного оклада).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стимулирующей части (ФОТс) составляет не менее 90% Фонда оплаты труда Учреждения, из средств, поступающих от приносящей доход деятельности.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Стимулирующая часть фонда оплаты труда (ФОТс) включает в себя стимулирующие выплаты (премии) основного персонала Учреждения, которые ежемесячно распределяются в полном объеме.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директору Учреждения, предусмотренные подпунктом "в" пункта 2.2 Положения об оплате труда руководителей муниципальных учреждений в сфере спорта и молодежной политики, утвержденным Постановлением Администрации города Тюмени от 03.12.2009 N 90-пк, производятся в размере, не превышающем 10% Фонда оплаты труда учреждения, из средств, поступающих от приносящей доход, но не более размера должностного оклада по занимаемой должности руководителя Учреждения, установленного трудовым договором.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трудовым законодательством.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3719" w:rsidRPr="00D8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Фонд заработной платы 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Фонд заработной платы основного персонала и персонала сопровождения Учреждения устанавливается  исходя из:  </w:t>
      </w: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должностного оклада, устанавливаемого в трудовом договоре согласно штатному расписанию;</w:t>
      </w: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районного коэффициента;</w:t>
      </w: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стимулирующие выплаты (премии).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3719" w:rsidRPr="00D8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Компенсационные выплаты 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выплатам компенсационного характера относятся следующие доплаты и надбавки: </w:t>
      </w:r>
    </w:p>
    <w:p w:rsidR="005B3719" w:rsidRPr="00D808FC" w:rsidRDefault="005B3719" w:rsidP="005B37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коэффициент;</w:t>
      </w:r>
    </w:p>
    <w:p w:rsidR="005B3719" w:rsidRPr="00D808FC" w:rsidRDefault="005B3719" w:rsidP="005B37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выплаты, предусмотренные трудовым законодательством.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компенсационного характера осуществляются на основании приказа директора Учреждения.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B3719" w:rsidRPr="00D8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.Стимулирующие выплаты (премии) 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Стимулирующие выплаты (премии) выплачиваются ежемесячно на основании приказа директора Учреждения, размер ежемесячных премий определяется в зависимости от объема средств стимулирующей части (ФОТс) Фонд оплаты труда Учреждения, из средств, поступающих от приносящей доход деятельности за один месяц.</w:t>
      </w:r>
    </w:p>
    <w:p w:rsidR="005B3719" w:rsidRPr="00D808FC" w:rsidRDefault="007616A1" w:rsidP="005B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B3719" w:rsidRPr="00D8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Заключительные положения </w:t>
      </w:r>
    </w:p>
    <w:p w:rsidR="005B3719" w:rsidRPr="00D808FC" w:rsidRDefault="007616A1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</w:t>
      </w:r>
      <w:r w:rsidR="00737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5B3719" w:rsidRPr="00D8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и действует до внесения изменений в установленном порядке. </w:t>
      </w:r>
    </w:p>
    <w:p w:rsidR="00D808FC" w:rsidRDefault="005B3719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E38" w:rsidRDefault="00B22E38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E38" w:rsidRDefault="00B22E38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УВР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6095"/>
        <w:gridCol w:w="1276"/>
      </w:tblGrid>
      <w:tr w:rsidR="00D808FC" w:rsidTr="00D808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1B2672" w:rsidTr="00D808F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услуг, родителей (законных представителей) по вопросам оказания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реализацией программ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предпрофессиональных программ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и сопровождения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мероприятиях и проектах различной направленности и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получателями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инновационной деятельности в муниципальном учреждении - внедрение новых форм, методик, технологий социального обслуживания (наличие инновационных разработок, методических печатных разработок, сборников, буклетов, выступлений)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реализация индивидуальных образовательных маршрутов, повышения квалификации педагогических работников и осуществление мониторинга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работы с родительской общественностью (форумы, интернет-приемные, диалоговые (дискуссионные) проблемные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информационных систем в управленческой деятельности, организация своевременной актуализации сайта в соответствии с требованиями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1" w:firstLine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формированием педагогическими работниками муниципального учреждения документации, формируемой в рамках образовательного процесса, в установленные сроки (отсутствие замечаний по ведению документации в рамках образовательного 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Tr="00D808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Tr="00D808F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8320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3">
              <w:rPr>
                <w:rFonts w:ascii="Times New Roman" w:hAnsi="Times New Roman" w:cs="Times New Roman"/>
                <w:sz w:val="24"/>
                <w:szCs w:val="24"/>
              </w:rPr>
              <w:t>Четкое и своевременное исполнение решений, распорядительных документов, приказов и поручений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E38" w:rsidRDefault="00B22E38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E38" w:rsidRDefault="00B22E38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завхоз</w:t>
      </w:r>
    </w:p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18"/>
        <w:gridCol w:w="6052"/>
        <w:gridCol w:w="1387"/>
      </w:tblGrid>
      <w:tr w:rsidR="00D808FC" w:rsidRPr="00F3399D" w:rsidTr="00D808FC">
        <w:trPr>
          <w:trHeight w:val="14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показатели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08FC" w:rsidRPr="00F3399D" w:rsidTr="00D808FC">
        <w:trPr>
          <w:trHeight w:val="924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по оформлению зданий и прилегающей территории, в т.ч</w:t>
            </w:r>
          </w:p>
          <w:p w:rsidR="00D808FC" w:rsidRPr="00F3399D" w:rsidRDefault="00D808FC" w:rsidP="00D808F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субботников</w:t>
            </w:r>
          </w:p>
          <w:p w:rsidR="00D808FC" w:rsidRPr="00F3399D" w:rsidRDefault="00D808FC" w:rsidP="00D808F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социальнозначимых работ в учреждении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обеспечения общественного порядка, безопасности и антитеррористической защищенности муниципального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(предписаний) контролирующих (надзорных) органов по вопросам технической обеспеченности процесса оказания услуг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подготовке плана финансово-хозяйственной деятельности с целью эффективного использования бюджетных средств, в том числе передача непрофильных функций на аутсорсинг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текущего, косметического ремонта, осуществление контроля за проведением ремонта подрядными организациями (помещений, элементов прилегающей территории)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ресурса электронного документооборота во всех процедурах административно-хозяйственной управленческой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08FC" w:rsidRPr="00F3399D" w:rsidTr="00D808FC">
        <w:trPr>
          <w:trHeight w:val="143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Четкое и своевременное исполнение решений, распорядительных документов, приказов и поручений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инспектор по кадрам</w:t>
      </w:r>
    </w:p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50"/>
        <w:gridCol w:w="6148"/>
        <w:gridCol w:w="1409"/>
      </w:tblGrid>
      <w:tr w:rsidR="00D808FC" w:rsidRPr="000F37B6" w:rsidTr="00D808FC">
        <w:trPr>
          <w:trHeight w:val="28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0F37B6" w:rsidTr="00D808FC">
        <w:trPr>
          <w:trHeight w:val="64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проверяющих органов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направлению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8FC" w:rsidRPr="000F37B6" w:rsidTr="00D808FC">
        <w:trPr>
          <w:trHeight w:val="143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нарушений трудового,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пенсионного законодательства, и других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нарушений правового характера при ведении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кадрового делопроизводства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8FC" w:rsidRPr="000F37B6" w:rsidTr="00D808FC">
        <w:trPr>
          <w:trHeight w:val="143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сроков подготовки документов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0F37B6" w:rsidTr="00D808FC">
        <w:trPr>
          <w:trHeight w:val="679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Отсутствие случаев подготовки документов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0F37B6" w:rsidTr="00D808FC">
        <w:trPr>
          <w:trHeight w:val="143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действующих регламента и инструкций по вопросам хранения служебных</w:t>
            </w:r>
          </w:p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Tr="00D808FC">
        <w:trPr>
          <w:trHeight w:val="834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Чёткое и своевременное исполнение решений, распорядительных документов, приказов и поручений. </w:t>
            </w:r>
          </w:p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0F37B6" w:rsidTr="00D808FC">
        <w:trPr>
          <w:trHeight w:val="551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услуг, родителей (законных представителей) по вопросам оказания образовательных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0F37B6" w:rsidTr="00D808FC">
        <w:trPr>
          <w:trHeight w:val="50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0F37B6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0F37B6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кладовщик</w:t>
      </w:r>
    </w:p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56"/>
        <w:gridCol w:w="6167"/>
        <w:gridCol w:w="1414"/>
      </w:tblGrid>
      <w:tr w:rsidR="00D808FC" w:rsidRPr="001B2672" w:rsidTr="00D808FC">
        <w:trPr>
          <w:trHeight w:val="2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F25C33" w:rsidTr="00D808FC">
        <w:trPr>
          <w:trHeight w:val="368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зданий и прилегающей территории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(предписаний) контролирующих (надзорных) органов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финансово-хозяйственной деятельности с целью эффективного использования бюджетных средств, в том числе передача непрофильных функций на аутсорсинг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текущего и косметического ремонта (помещений, элементов прилегающей территории)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электронного документооборота во всех процедурах административно-хозяйственной управленческой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Своевременно списание товарно-материальных ценностей с баланса учреждения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Поддержание внутреннего порядка в складских помещениях учреждения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Контроль за передвижением имущества, материальных ценностей учреждения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F25C33" w:rsidTr="00D808FC">
        <w:trPr>
          <w:trHeight w:val="141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F25C33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медицинская сестра</w:t>
      </w:r>
    </w:p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15"/>
        <w:gridCol w:w="6042"/>
        <w:gridCol w:w="1385"/>
      </w:tblGrid>
      <w:tr w:rsidR="00D808FC" w:rsidRPr="00D808FC" w:rsidTr="00D808FC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D808FC" w:rsidTr="00D808FC">
        <w:trPr>
          <w:trHeight w:val="642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(предписаний) контролирующих (надзорных) органов в части соблюдения санитарных норм и правил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8FC" w:rsidRPr="00D808FC" w:rsidTr="00D808FC">
        <w:trPr>
          <w:trHeight w:val="14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Отсутствие жалоб по основной деятельности от получателей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D808FC" w:rsidTr="00D808FC">
        <w:trPr>
          <w:trHeight w:val="716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8FC" w:rsidRPr="00D808FC" w:rsidTr="00D808FC">
        <w:trPr>
          <w:trHeight w:val="14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здоровья обучающихся (организация и контроль за  диспансеризацией)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D808FC" w:rsidTr="00D808FC">
        <w:trPr>
          <w:trHeight w:val="14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D808FC" w:rsidTr="00D808FC">
        <w:trPr>
          <w:trHeight w:val="14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списания лекарственных препаратов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D808FC" w:rsidTr="00D808FC">
        <w:trPr>
          <w:trHeight w:val="869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rPr>
          <w:trHeight w:val="869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водитель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8"/>
        <w:gridCol w:w="6023"/>
        <w:gridCol w:w="1381"/>
      </w:tblGrid>
      <w:tr w:rsidR="00D808FC" w:rsidRPr="001B2672" w:rsidTr="00D808FC">
        <w:trPr>
          <w:trHeight w:val="28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6A20F8" w:rsidTr="00D808FC">
        <w:trPr>
          <w:trHeight w:val="64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имеющегося </w:t>
            </w: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8FC" w:rsidRPr="006A20F8" w:rsidTr="00D808FC">
        <w:trPr>
          <w:trHeight w:val="145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по вине водителя муниципального учреждения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6A20F8" w:rsidTr="00D808FC">
        <w:trPr>
          <w:trHeight w:val="145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привлечения к административной ответственности за нарушение </w:t>
            </w:r>
            <w:hyperlink r:id="rId5" w:history="1">
              <w:r w:rsidRPr="006A20F8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6A20F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FC" w:rsidRPr="006A20F8" w:rsidTr="00D808FC">
        <w:trPr>
          <w:trHeight w:val="145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 xml:space="preserve">Экономное использование горюче-смазочных материалов (в соответствии с </w:t>
            </w:r>
            <w:hyperlink r:id="rId6" w:history="1">
              <w:r w:rsidRPr="006A20F8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6A20F8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14 марта 2008 г. N АМ-23-р «О введении в действие Методических рекомендаций «Нормы расхода топлив и смазочных материалов на автомобильном транспорте»)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FC" w:rsidRPr="001B2672" w:rsidTr="00D808FC">
        <w:trPr>
          <w:trHeight w:val="145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3A7EDF" w:rsidTr="00D808FC">
        <w:trPr>
          <w:trHeight w:val="558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при прохождении предрейсового осмотра медицинским персоналом учреждения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3A7EDF" w:rsidTr="00D808FC">
        <w:trPr>
          <w:trHeight w:val="573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от получателей услуг, родителей (законных представителей) во время перевозки обучающихся учреждения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3A7EDF" w:rsidTr="00D808FC">
        <w:trPr>
          <w:trHeight w:val="271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3A7EDF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главный бухгалтер, бухгалтер, экономист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1"/>
        <w:gridCol w:w="6090"/>
        <w:gridCol w:w="1396"/>
      </w:tblGrid>
      <w:tr w:rsidR="00D808FC" w:rsidRPr="001B2672" w:rsidTr="00D808FC">
        <w:trPr>
          <w:trHeight w:val="28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1B2672" w:rsidTr="00D808FC">
        <w:trPr>
          <w:trHeight w:val="642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  <w:r w:rsidR="007616A1">
              <w:rPr>
                <w:rFonts w:ascii="Times New Roman" w:hAnsi="Times New Roman" w:cs="Times New Roman"/>
                <w:sz w:val="24"/>
                <w:szCs w:val="24"/>
              </w:rPr>
              <w:t>, экономист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(соблюдение сроков предоставления отчетности)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финансово-хозяйственной деятельности по статьям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и дебиторской задолженности и нарушений финансово-хозяйственной деятельности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результатам проверок финансово-хозяйственной деятельности муниципального учреждения контролирующими (надзорными) органами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Подготовка экономических расчетов, направленных на эффективность использования денежных средств, в том числе передача непрофильных функций на аутсорсинг, и исключение неэффективных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электронного документооборота во всех процедурах административно-хозяйственной и управленческой деятельности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D808FC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изменений учредительных документов и документов проверяющих органов на сайте </w:t>
            </w:r>
            <w:r w:rsidRPr="00D80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rPr>
          <w:trHeight w:val="14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4E235E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5E">
              <w:rPr>
                <w:rFonts w:ascii="Times New Roman" w:hAnsi="Times New Roman" w:cs="Times New Roman"/>
                <w:sz w:val="24"/>
                <w:szCs w:val="24"/>
              </w:rPr>
              <w:t>Четкое и своевременное исполнение решений, распорядительных документов, приказов и поручений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2B85" w:rsidRDefault="00792B85" w:rsidP="0023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D808FC" w:rsidRDefault="002333B3" w:rsidP="0023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тренер-преподаватель</w:t>
      </w:r>
      <w:r w:rsidR="008F2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812"/>
        <w:gridCol w:w="1559"/>
      </w:tblGrid>
      <w:tr w:rsidR="00D808FC" w:rsidRPr="00711775" w:rsidTr="002333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Баллы макс</w:t>
            </w:r>
          </w:p>
        </w:tc>
      </w:tr>
      <w:tr w:rsidR="00D808FC" w:rsidRPr="00711775" w:rsidTr="002333B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Динамика учебных (ЗУН) и внеучебных достижений обучающихся с учетом характеристики контингента обучающихся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нормативов 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90-100 % обуч-ся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 - переводных нормативов 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90-100 % обуч-ся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Показатели подготовленности обучающихся по результатам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От получателей услуг по вопросам оказания образовательных услуг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по вопросам оказания образовательных услуг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и спортивных мероприятий различного уровня, в том числе детей с ограниченными возможностями здоровья (за 1 чел):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Первенство области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Первенство УФО, отборочные на первенство РФ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Первенство РФ, Финал Кубка РФ, Чемпионат РФ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первенстве, чемпионате РФ за 1 чел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Участие в официальных международных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Наличие в числе получателей услуг инвалидов, лиц с ограниченными возможностями здоровья, детей, состоящих на различных видах профилактического учета: ПДН, КДН, 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экспериментальных, инновационных площадок, проектов различной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рекомендаций, сборников, </w:t>
            </w:r>
            <w:r w:rsidRPr="00711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памяток для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808FC" w:rsidRPr="00711775" w:rsidTr="002333B3">
        <w:trPr>
          <w:trHeight w:val="7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конференциях, семинарах, совещаниях, круглых столах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и современного учебно-наглядного оборудования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взаимодействие с родителями (законными представителями) получателей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учебно-тренировочной работы 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сборов, физкультурных и спортивных мероприятий (за 1 мер-е)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Подготовка членов сборных команд области, РФ (за 1 чел, единоразово)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спортсменов-разрядников за 1 чел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  <w:p w:rsidR="00D808FC" w:rsidRPr="00711775" w:rsidRDefault="00D808FC" w:rsidP="00D808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Самое большое представительство участников мероприятий от 1 тренера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сверх установленного норматива (за 1 чел)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Присвоение/подтверждение квалификационной/судейской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04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04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16B" w:rsidRDefault="00EC316B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711775" w:rsidTr="002333B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учебно-воспитательного процесса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оформление различной документации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вышестоящих организаций, общественных объединений 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тренер» (1-3 место)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Участие в работе летнего оздоровительного лагеря</w:t>
            </w:r>
          </w:p>
          <w:p w:rsidR="00D808FC" w:rsidRPr="00711775" w:rsidRDefault="00D808FC" w:rsidP="00D808F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Четкое и своевременное исполнение решений, распорядительных документов, приказов и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20-15-10</w:t>
            </w:r>
          </w:p>
          <w:p w:rsidR="002333B3" w:rsidRDefault="002333B3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33B3" w:rsidRDefault="002333B3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FC" w:rsidRPr="00711775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E38" w:rsidRDefault="00B22E38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E38" w:rsidRDefault="00B22E38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спортсмен-инструктор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8"/>
        <w:gridCol w:w="6023"/>
        <w:gridCol w:w="1381"/>
      </w:tblGrid>
      <w:tr w:rsidR="00D808FC" w:rsidRPr="001B2672" w:rsidTr="00D808FC">
        <w:trPr>
          <w:trHeight w:val="2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08FC" w:rsidRPr="001B2672" w:rsidTr="00D808FC">
        <w:trPr>
          <w:trHeight w:val="371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Подтверждение/присвоение разряда, звания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Ведение дневников самоконтроля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Достижение плановых спортивных результатов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конференциях, семинарах, совещаниях, круглых столах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и современного учебно-наглядного оборудования в образовательном процессе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взаимодействие с родителями (законными представителями) получателей услуг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1B2672" w:rsidTr="00D808FC">
        <w:trPr>
          <w:trHeight w:val="142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8FC" w:rsidRP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методист</w:t>
      </w:r>
    </w:p>
    <w:p w:rsidR="00D808FC" w:rsidRDefault="00D808FC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5954"/>
        <w:gridCol w:w="798"/>
        <w:gridCol w:w="761"/>
      </w:tblGrid>
      <w:tr w:rsidR="00D808FC" w:rsidRPr="001B2672" w:rsidTr="00D808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конференциях, семинарах, совещаниях, круглых столах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услуг, родителей (законных представителей) по вопросам оказания образовательных услуг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рекомендаций, сборников, буклетов, памяток для населения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Наличие в числе получателей услуг инвалидов, лиц с ограниченными возможностями здоровья, детей, состоящих на различных видах профилактического учета: ПДН, КДН, ГОВ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экспериментальных, инновационных площадок,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 </w:t>
            </w: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ресурсов и </w:t>
            </w:r>
            <w:r w:rsidRPr="001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учебно-наглядного оборудования в образовательном процессе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взаимодействие с родителями (законными представителями) получателей услуг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образовательного маршрута, направленного на профессиональный рост педагогического работника, в рамках утвержденных форматов повышения квалификации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C" w:rsidRPr="001B2672" w:rsidTr="00D808FC">
        <w:trPr>
          <w:gridAfter w:val="1"/>
          <w:wAfter w:w="761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Обеспечение получателей услуг внеучебной деятельностью, организованным отдыхом и занятостью в каникулярное время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1B2672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6A20F8" w:rsidTr="00D808FC">
        <w:trPr>
          <w:gridAfter w:val="1"/>
          <w:wAfter w:w="761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8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информационных систем в управленческой деятельности, организация своевременной актуализации сайта в соответствии с требованиями действующего законодательства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6A20F8" w:rsidTr="00D808FC">
        <w:trPr>
          <w:gridAfter w:val="1"/>
          <w:wAfter w:w="761" w:type="dxa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физкультурных, спортивных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6A20F8" w:rsidTr="00D808FC">
        <w:trPr>
          <w:gridAfter w:val="1"/>
          <w:wAfter w:w="761" w:type="dxa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6A20F8" w:rsidTr="00D808FC">
        <w:trPr>
          <w:gridAfter w:val="1"/>
          <w:wAfter w:w="761" w:type="dxa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C" w:rsidRPr="00F3399D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Четкое и своевременное исполнение решений, распорядительных документов, приказов и поручений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C" w:rsidRPr="006A20F8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X="12479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808FC" w:rsidTr="00D808FC">
        <w:trPr>
          <w:trHeight w:val="17"/>
        </w:trPr>
        <w:tc>
          <w:tcPr>
            <w:tcW w:w="324" w:type="dxa"/>
          </w:tcPr>
          <w:p w:rsid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808FC" w:rsidRDefault="00D808FC" w:rsidP="00D8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719" w:rsidRPr="00D808FC" w:rsidRDefault="005B3719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 w:rsidRPr="00D808FC">
        <w:rPr>
          <w:rFonts w:ascii="Times New Roman" w:hAnsi="Times New Roman" w:cs="Times New Roman"/>
          <w:b/>
          <w:sz w:val="24"/>
          <w:szCs w:val="24"/>
          <w:u w:val="single"/>
        </w:rPr>
        <w:t>инструктор по спорту</w:t>
      </w:r>
    </w:p>
    <w:p w:rsidR="005B3719" w:rsidRPr="00D808FC" w:rsidRDefault="005B3719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7087"/>
        <w:gridCol w:w="993"/>
      </w:tblGrid>
      <w:tr w:rsidR="00D808FC" w:rsidRPr="00D808FC" w:rsidTr="00D808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b/>
                <w:sz w:val="24"/>
                <w:szCs w:val="24"/>
              </w:rPr>
              <w:t>Баллы макс</w:t>
            </w:r>
          </w:p>
        </w:tc>
      </w:tr>
      <w:tr w:rsidR="00D808FC" w:rsidRPr="00D808FC" w:rsidTr="00D808F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5B3719" w:rsidRPr="00D808FC" w:rsidRDefault="00D808FC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B3719" w:rsidRPr="00D808FC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обоснованных жалоб 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 От получателей услуг по вопросам оказания образовательных услуг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 по вопросам оказания образовательных услуг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Административно-управленческого персонала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D808FC" w:rsidTr="00D808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2.Наличие в числе получателей услуг инвалидов, лиц с ограниченными возможностями здоровья, детей, состоящих на различных видах профилактического учета: ПДН, КДН, 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D808FC" w:rsidTr="00D808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3. Участие в работе экспериментальных, инновационных площадок, проектов различной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D808FC" w:rsidTr="00D808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4.Издание методических рекомендаций, сборников, буклетов, памяток для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D808FC" w:rsidTr="00D808FC">
        <w:trPr>
          <w:trHeight w:val="7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5.Выступление с докладами на конференциях, семинарах, совещаниях, круглых столах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8FC" w:rsidRPr="00D808FC" w:rsidTr="00D808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6.Использование информационных ресурсов и современного учебно-наглядного оборудования в образовательном процессе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8FC" w:rsidRPr="00D808FC" w:rsidTr="00D808FC">
        <w:trPr>
          <w:trHeight w:val="11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7.Эффективность   работы: 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 Проведение   физкультурных и спортивных мероприятий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 Выполнение количестве</w:t>
            </w:r>
            <w:r w:rsidR="00D808FC">
              <w:rPr>
                <w:rFonts w:ascii="Times New Roman" w:hAnsi="Times New Roman" w:cs="Times New Roman"/>
                <w:sz w:val="24"/>
                <w:szCs w:val="24"/>
              </w:rPr>
              <w:t xml:space="preserve">нных и качественных показателей </w:t>
            </w: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D808FC" w:rsidRPr="00D808FC" w:rsidTr="00D808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8.Участие в общественной жизни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8FC" w:rsidRPr="00D808FC" w:rsidTr="00D808FC">
        <w:trPr>
          <w:trHeight w:val="22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9.Высокий уровень организации учебно-воспитательного, тренировочного процессов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 Своевременное и качественное оформление различной документации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грамот вышестоящих организаций, общественных объединений 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-Четкое и своевременное исполнение решений, распорядительных документов, приказов и поручений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19" w:rsidRPr="00D808FC" w:rsidRDefault="005B3719" w:rsidP="00D8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B3719" w:rsidRPr="00D808FC" w:rsidRDefault="005B3719" w:rsidP="005B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D808FC" w:rsidRDefault="002333B3" w:rsidP="0023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дворник, дежурный администратор, сторож, электрик</w:t>
      </w: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19" w:rsidRPr="00D808FC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0"/>
        <w:gridCol w:w="6119"/>
        <w:gridCol w:w="1403"/>
      </w:tblGrid>
      <w:tr w:rsidR="002333B3" w:rsidRPr="001B2672" w:rsidTr="002333B3">
        <w:trPr>
          <w:trHeight w:val="2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33B3" w:rsidRPr="001B2672" w:rsidTr="002333B3">
        <w:trPr>
          <w:trHeight w:val="56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2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ворник, дежурный администратор, сторож, электрик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заявок по устранению технических неполадок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33B3" w:rsidRPr="001B2672" w:rsidTr="002333B3">
        <w:trPr>
          <w:trHeight w:val="13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3B3" w:rsidRPr="001B2672" w:rsidTr="002333B3">
        <w:trPr>
          <w:trHeight w:val="13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зданий и прилегающей территории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3B3" w:rsidRPr="001B2672" w:rsidTr="002333B3">
        <w:trPr>
          <w:trHeight w:val="13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3B3" w:rsidRPr="001B2672" w:rsidTr="002333B3">
        <w:trPr>
          <w:trHeight w:val="13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4778BE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8BE">
              <w:rPr>
                <w:rFonts w:ascii="Times New Roman" w:hAnsi="Times New Roman" w:cs="Times New Roman"/>
                <w:sz w:val="24"/>
                <w:szCs w:val="24"/>
              </w:rPr>
              <w:t>Контроль за передвижением имущества материальных ценностей учреждения, находящихся  в закрепленном за работником помещении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1B2672" w:rsidTr="002333B3">
        <w:trPr>
          <w:trHeight w:val="13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4778BE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8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Качественная, своевременная уборка помещений и наведение порядка в учреждении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1B2672" w:rsidTr="002333B3">
        <w:trPr>
          <w:trHeight w:val="13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4778BE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8BE">
              <w:rPr>
                <w:rFonts w:ascii="Times New Roman" w:hAnsi="Times New Roman" w:cs="Times New Roman"/>
                <w:sz w:val="24"/>
                <w:szCs w:val="24"/>
              </w:rPr>
              <w:t>Контроль за экономичным расходом  тепло, водо и электроснабжения в помещениях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B3719" w:rsidRDefault="005B3719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B3" w:rsidRPr="00D808FC" w:rsidRDefault="002333B3" w:rsidP="0023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юрисконсульт, специалист по закупкам</w:t>
      </w:r>
    </w:p>
    <w:p w:rsidR="002333B3" w:rsidRPr="00D808FC" w:rsidRDefault="002333B3" w:rsidP="005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6237"/>
        <w:gridCol w:w="1417"/>
      </w:tblGrid>
      <w:tr w:rsidR="002333B3" w:rsidRPr="001B2672" w:rsidTr="002333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33B3" w:rsidTr="002333B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 по закупкам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(надзорных) органов, связанных с юридическим сопровождением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Default="002333B3" w:rsidP="007616A1">
            <w:r w:rsidRPr="00CA6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3B3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для нужд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Default="002333B3" w:rsidP="007616A1">
            <w:r w:rsidRPr="00CA6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3B3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признанных решениями суда полностью (в части) недействительными заключенных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Default="002333B3" w:rsidP="007616A1">
            <w:r w:rsidRPr="00CA6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3B3" w:rsidTr="002333B3">
        <w:trPr>
          <w:trHeight w:val="6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Default="002333B3" w:rsidP="007616A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3B3" w:rsidTr="002333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услуг, родителей (законных представителей) по вопросам оказания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Default="002333B3" w:rsidP="007616A1">
            <w:r w:rsidRPr="00CA6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3B3" w:rsidRPr="00CA6217" w:rsidTr="002333B3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1B2672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CA6217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84C5D" w:rsidRDefault="00484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Default="002333B3" w:rsidP="002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FC">
        <w:rPr>
          <w:rFonts w:ascii="Times New Roman" w:hAnsi="Times New Roman" w:cs="Times New Roman"/>
          <w:sz w:val="24"/>
          <w:szCs w:val="24"/>
        </w:rPr>
        <w:t xml:space="preserve">Показатели стимулирования </w:t>
      </w:r>
      <w:r w:rsidRPr="002333B3">
        <w:rPr>
          <w:rFonts w:ascii="Times New Roman" w:hAnsi="Times New Roman" w:cs="Times New Roman"/>
          <w:b/>
          <w:sz w:val="24"/>
          <w:szCs w:val="24"/>
          <w:u w:val="single"/>
        </w:rPr>
        <w:t>Рабочий по комплексному обслуживанию здания</w:t>
      </w:r>
    </w:p>
    <w:p w:rsidR="002333B3" w:rsidRPr="002333B3" w:rsidRDefault="002333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2"/>
        <w:gridCol w:w="5946"/>
        <w:gridCol w:w="1363"/>
      </w:tblGrid>
      <w:tr w:rsidR="002333B3" w:rsidRPr="002333B3" w:rsidTr="002333B3">
        <w:trPr>
          <w:trHeight w:val="26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33B3" w:rsidRPr="002333B3" w:rsidTr="002333B3">
        <w:trPr>
          <w:trHeight w:val="597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заявок по устранению технических неполадок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33B3" w:rsidRPr="002333B3" w:rsidTr="002333B3">
        <w:trPr>
          <w:trHeight w:val="14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3B3" w:rsidRPr="002333B3" w:rsidTr="002333B3">
        <w:trPr>
          <w:trHeight w:val="14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зданий и прилегающей территории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3B3" w:rsidRPr="002333B3" w:rsidTr="002333B3">
        <w:trPr>
          <w:trHeight w:val="14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3B3" w:rsidRPr="002333B3" w:rsidTr="002333B3">
        <w:trPr>
          <w:trHeight w:val="14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pStyle w:val="4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bookmarkStart w:id="6" w:name="OLE_LINK1"/>
            <w:bookmarkStart w:id="7" w:name="OLE_LINK2"/>
            <w:bookmarkStart w:id="8" w:name="OLE_LINK3"/>
            <w:bookmarkStart w:id="9" w:name="OLE_LINK4"/>
            <w:r w:rsidRPr="002333B3">
              <w:rPr>
                <w:rFonts w:ascii="Times New Roman" w:eastAsia="Calibri" w:hAnsi="Times New Roman" w:cs="Times New Roman"/>
              </w:rPr>
              <w:t>Выполнение вн</w:t>
            </w:r>
            <w:r w:rsidRPr="002333B3">
              <w:rPr>
                <w:rFonts w:ascii="Times New Roman" w:hAnsi="Times New Roman" w:cs="Times New Roman"/>
              </w:rPr>
              <w:t>еплановых значимых работ (благоустройство территории, ремонтные работы, создание развивающей среды)</w:t>
            </w:r>
          </w:p>
          <w:bookmarkEnd w:id="6"/>
          <w:bookmarkEnd w:id="7"/>
          <w:bookmarkEnd w:id="8"/>
          <w:bookmarkEnd w:id="9"/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2333B3" w:rsidTr="002333B3">
        <w:trPr>
          <w:trHeight w:val="14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услуг, родителей (законных представителей)</w:t>
            </w:r>
            <w:r w:rsidRPr="002333B3">
              <w:rPr>
                <w:sz w:val="20"/>
                <w:szCs w:val="20"/>
              </w:rPr>
              <w:t xml:space="preserve"> </w:t>
            </w: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качественного выполнения муниципального задания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2333B3" w:rsidTr="002333B3">
        <w:trPr>
          <w:trHeight w:val="14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5"/>
            <w:bookmarkStart w:id="11" w:name="OLE_LINK6"/>
            <w:bookmarkStart w:id="12" w:name="OLE_LINK7"/>
            <w:r w:rsidRPr="00233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Качественное содержание и поддержание оборудования и инвентаря в рабочем состоянии (бережное обращение, </w:t>
            </w:r>
            <w:r w:rsidRPr="002333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своевременное обращения для устранения поломок)</w:t>
            </w:r>
            <w:bookmarkEnd w:id="10"/>
            <w:bookmarkEnd w:id="11"/>
            <w:bookmarkEnd w:id="12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2333B3" w:rsidRPr="002333B3" w:rsidRDefault="00233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2333B3" w:rsidRDefault="002333B3" w:rsidP="002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3B3">
        <w:rPr>
          <w:rFonts w:ascii="Times New Roman" w:hAnsi="Times New Roman" w:cs="Times New Roman"/>
          <w:sz w:val="24"/>
          <w:szCs w:val="24"/>
        </w:rPr>
        <w:t>Показатели стимулирования</w:t>
      </w:r>
      <w:r w:rsidRPr="0023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3B3">
        <w:rPr>
          <w:rFonts w:ascii="Times New Roman" w:hAnsi="Times New Roman" w:cs="Times New Roman"/>
          <w:b/>
          <w:sz w:val="24"/>
          <w:szCs w:val="24"/>
          <w:u w:val="single"/>
        </w:rPr>
        <w:t>уборщик</w:t>
      </w:r>
    </w:p>
    <w:p w:rsidR="002333B3" w:rsidRPr="002333B3" w:rsidRDefault="002333B3" w:rsidP="002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7"/>
        <w:gridCol w:w="5607"/>
        <w:gridCol w:w="2223"/>
      </w:tblGrid>
      <w:tr w:rsidR="002333B3" w:rsidRPr="002333B3" w:rsidTr="002333B3">
        <w:trPr>
          <w:trHeight w:val="2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Примерные показатели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заявок по устранению технических неполадок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учреждения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зданий и прилегающей территории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Чёткое и своевременное исполнение решений, распорядительных документов, приказов и поручений.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услуг, родителей (законных представителей)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8"/>
            <w:bookmarkStart w:id="14" w:name="OLE_LINK9"/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качественного выполнения муниципального задания</w:t>
            </w:r>
            <w:bookmarkEnd w:id="13"/>
            <w:bookmarkEnd w:id="14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Качественная, своевременная уборка помещений и наведение порядка в учреждении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3B3" w:rsidRPr="002333B3" w:rsidTr="002333B3">
        <w:trPr>
          <w:trHeight w:val="146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Контроль за экономичным расходом  тепло, водо и электроснабжения в помещениях учреждения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3" w:rsidRPr="002333B3" w:rsidRDefault="002333B3" w:rsidP="0076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33B3" w:rsidRPr="002333B3" w:rsidRDefault="002333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3B3" w:rsidRPr="002333B3" w:rsidSect="00860BA1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0EF"/>
    <w:multiLevelType w:val="hybridMultilevel"/>
    <w:tmpl w:val="988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095"/>
    <w:multiLevelType w:val="hybridMultilevel"/>
    <w:tmpl w:val="8B9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C8A"/>
    <w:multiLevelType w:val="hybridMultilevel"/>
    <w:tmpl w:val="89DE7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50DAB"/>
    <w:multiLevelType w:val="hybridMultilevel"/>
    <w:tmpl w:val="176C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3135B"/>
    <w:multiLevelType w:val="hybridMultilevel"/>
    <w:tmpl w:val="57A4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56A9A"/>
    <w:multiLevelType w:val="hybridMultilevel"/>
    <w:tmpl w:val="3EE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5A"/>
    <w:multiLevelType w:val="hybridMultilevel"/>
    <w:tmpl w:val="6B9C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7732"/>
    <w:multiLevelType w:val="hybridMultilevel"/>
    <w:tmpl w:val="818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F0A"/>
    <w:rsid w:val="00014D5F"/>
    <w:rsid w:val="000413FD"/>
    <w:rsid w:val="000C42E4"/>
    <w:rsid w:val="001A4BFB"/>
    <w:rsid w:val="002333B3"/>
    <w:rsid w:val="003529AF"/>
    <w:rsid w:val="00374290"/>
    <w:rsid w:val="00406A31"/>
    <w:rsid w:val="004070B8"/>
    <w:rsid w:val="00484C5D"/>
    <w:rsid w:val="00491D16"/>
    <w:rsid w:val="004A5016"/>
    <w:rsid w:val="004D0D7D"/>
    <w:rsid w:val="005B3719"/>
    <w:rsid w:val="005B4127"/>
    <w:rsid w:val="005E203E"/>
    <w:rsid w:val="0062490B"/>
    <w:rsid w:val="00737EA4"/>
    <w:rsid w:val="007616A1"/>
    <w:rsid w:val="00792B85"/>
    <w:rsid w:val="00860BA1"/>
    <w:rsid w:val="008D3F0A"/>
    <w:rsid w:val="008F2EC5"/>
    <w:rsid w:val="0094108F"/>
    <w:rsid w:val="009A2CC0"/>
    <w:rsid w:val="00A02A78"/>
    <w:rsid w:val="00A74B82"/>
    <w:rsid w:val="00B04BE5"/>
    <w:rsid w:val="00B1286E"/>
    <w:rsid w:val="00B22E38"/>
    <w:rsid w:val="00B83183"/>
    <w:rsid w:val="00C044BD"/>
    <w:rsid w:val="00C621BF"/>
    <w:rsid w:val="00C7260F"/>
    <w:rsid w:val="00CC258D"/>
    <w:rsid w:val="00D30168"/>
    <w:rsid w:val="00D808FC"/>
    <w:rsid w:val="00DE2427"/>
    <w:rsid w:val="00EC316B"/>
    <w:rsid w:val="00EC3A8B"/>
    <w:rsid w:val="00EC48FE"/>
    <w:rsid w:val="00F8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Содержимое таблицы"/>
    <w:basedOn w:val="a"/>
    <w:rsid w:val="001A4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1A4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4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A5016"/>
    <w:pPr>
      <w:ind w:left="720"/>
      <w:contextualSpacing/>
    </w:pPr>
  </w:style>
  <w:style w:type="table" w:styleId="a7">
    <w:name w:val="Table Grid"/>
    <w:basedOn w:val="a1"/>
    <w:rsid w:val="0086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5B3719"/>
    <w:rPr>
      <w:sz w:val="16"/>
      <w:szCs w:val="16"/>
    </w:rPr>
  </w:style>
  <w:style w:type="paragraph" w:styleId="a9">
    <w:name w:val="annotation text"/>
    <w:basedOn w:val="a"/>
    <w:link w:val="aa"/>
    <w:rsid w:val="005B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5B3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71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4"/>
    <w:locked/>
    <w:rsid w:val="002333B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2333B3"/>
    <w:pPr>
      <w:shd w:val="clear" w:color="auto" w:fill="FFFFFF"/>
      <w:spacing w:after="0" w:line="0" w:lineRule="atLeast"/>
      <w:jc w:val="right"/>
    </w:pPr>
    <w:rPr>
      <w:sz w:val="24"/>
      <w:szCs w:val="24"/>
      <w:shd w:val="clear" w:color="auto" w:fill="FFFFFF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529A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52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Содержимое таблицы"/>
    <w:basedOn w:val="a"/>
    <w:rsid w:val="001A4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1A4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4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A5016"/>
    <w:pPr>
      <w:ind w:left="720"/>
      <w:contextualSpacing/>
    </w:pPr>
  </w:style>
  <w:style w:type="table" w:styleId="a7">
    <w:name w:val="Table Grid"/>
    <w:basedOn w:val="a1"/>
    <w:rsid w:val="0086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5B3719"/>
    <w:rPr>
      <w:sz w:val="16"/>
      <w:szCs w:val="16"/>
    </w:rPr>
  </w:style>
  <w:style w:type="paragraph" w:styleId="a9">
    <w:name w:val="annotation text"/>
    <w:basedOn w:val="a"/>
    <w:link w:val="aa"/>
    <w:rsid w:val="005B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5B3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71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4"/>
    <w:locked/>
    <w:rsid w:val="002333B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2333B3"/>
    <w:pPr>
      <w:shd w:val="clear" w:color="auto" w:fill="FFFFFF"/>
      <w:spacing w:after="0" w:line="0" w:lineRule="atLeast"/>
      <w:jc w:val="right"/>
    </w:pPr>
    <w:rPr>
      <w:sz w:val="24"/>
      <w:szCs w:val="24"/>
      <w:shd w:val="clear" w:color="auto" w:fill="FFFFFF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529A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52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8C5377DDBEB78A0D0F7D8DDBF29FE6FD83443DCB6D6544BEF6D14C6Fu77CK" TargetMode="External"/><Relationship Id="rId5" Type="http://schemas.openxmlformats.org/officeDocument/2006/relationships/hyperlink" Target="consultantplus://offline/ref=388C5377DDBEB78A0D0F7D8DDBF29FE6FD83423DC86C6544BEF6D14C6F7C6707AD29C3A5F245ADAFu979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SDUSHOR4</cp:lastModifiedBy>
  <cp:revision>10</cp:revision>
  <cp:lastPrinted>2016-06-22T04:35:00Z</cp:lastPrinted>
  <dcterms:created xsi:type="dcterms:W3CDTF">2016-06-03T11:59:00Z</dcterms:created>
  <dcterms:modified xsi:type="dcterms:W3CDTF">2017-09-28T12:00:00Z</dcterms:modified>
</cp:coreProperties>
</file>